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123AE9" w:rsidRPr="00123AE9" w:rsidTr="00123AE9">
        <w:trPr>
          <w:tblCellSpacing w:w="0" w:type="dxa"/>
          <w:jc w:val="center"/>
        </w:trPr>
        <w:tc>
          <w:tcPr>
            <w:tcW w:w="0" w:type="auto"/>
            <w:vAlign w:val="center"/>
            <w:hideMark/>
          </w:tcPr>
          <w:p w:rsidR="00123AE9" w:rsidRPr="00123AE9" w:rsidRDefault="00123AE9" w:rsidP="00123AE9">
            <w:pPr>
              <w:widowControl/>
              <w:spacing w:line="300" w:lineRule="atLeast"/>
              <w:jc w:val="center"/>
              <w:rPr>
                <w:rFonts w:ascii="ˎ̥" w:eastAsia="宋体" w:hAnsi="ˎ̥" w:cs="宋体" w:hint="eastAsia"/>
                <w:b/>
                <w:bCs/>
                <w:color w:val="454545"/>
                <w:kern w:val="0"/>
                <w:sz w:val="24"/>
                <w:szCs w:val="24"/>
              </w:rPr>
            </w:pPr>
            <w:bookmarkStart w:id="0" w:name="_GoBack"/>
            <w:r w:rsidRPr="00123AE9">
              <w:rPr>
                <w:rFonts w:ascii="ˎ̥" w:eastAsia="宋体" w:hAnsi="ˎ̥" w:cs="宋体"/>
                <w:b/>
                <w:bCs/>
                <w:color w:val="454545"/>
                <w:kern w:val="0"/>
                <w:sz w:val="27"/>
                <w:szCs w:val="27"/>
              </w:rPr>
              <w:t>国家税务总局关于股权转让所得个人所得税计税依据核定问题的公告</w:t>
            </w:r>
            <w:r w:rsidRPr="00123AE9">
              <w:rPr>
                <w:rFonts w:ascii="ˎ̥" w:eastAsia="宋体" w:hAnsi="ˎ̥" w:cs="宋体"/>
                <w:b/>
                <w:bCs/>
                <w:color w:val="454545"/>
                <w:kern w:val="0"/>
                <w:sz w:val="27"/>
                <w:szCs w:val="27"/>
              </w:rPr>
              <w:t xml:space="preserve"> </w:t>
            </w:r>
          </w:p>
        </w:tc>
      </w:tr>
      <w:tr w:rsidR="00123AE9" w:rsidRPr="00123AE9" w:rsidTr="00123AE9">
        <w:trPr>
          <w:trHeight w:val="240"/>
          <w:tblCellSpacing w:w="0" w:type="dxa"/>
          <w:jc w:val="center"/>
        </w:trPr>
        <w:tc>
          <w:tcPr>
            <w:tcW w:w="0" w:type="auto"/>
            <w:vAlign w:val="center"/>
            <w:hideMark/>
          </w:tcPr>
          <w:p w:rsidR="00123AE9" w:rsidRPr="00123AE9" w:rsidRDefault="00A70FDF" w:rsidP="00123AE9">
            <w:pPr>
              <w:widowControl/>
              <w:spacing w:line="300" w:lineRule="atLeast"/>
              <w:jc w:val="left"/>
              <w:rPr>
                <w:rFonts w:ascii="ˎ̥" w:eastAsia="宋体" w:hAnsi="ˎ̥" w:cs="宋体" w:hint="eastAsia"/>
                <w:b/>
                <w:bCs/>
                <w:color w:val="454545"/>
                <w:kern w:val="0"/>
                <w:sz w:val="24"/>
                <w:szCs w:val="24"/>
              </w:rPr>
            </w:pPr>
            <w:r>
              <w:rPr>
                <w:rFonts w:ascii="ˎ̥" w:eastAsia="宋体" w:hAnsi="ˎ̥" w:cs="宋体"/>
                <w:b/>
                <w:bCs/>
                <w:color w:val="454545"/>
                <w:kern w:val="0"/>
                <w:sz w:val="24"/>
                <w:szCs w:val="24"/>
              </w:rPr>
              <w:pict>
                <v:rect id="_x0000_i1025" style="width:0;height:.75pt" o:hralign="center" o:hrstd="t" o:hr="t" fillcolor="#a0a0a0" stroked="f"/>
              </w:pict>
            </w:r>
          </w:p>
        </w:tc>
      </w:tr>
      <w:tr w:rsidR="00123AE9" w:rsidRPr="00123AE9" w:rsidTr="00123AE9">
        <w:trPr>
          <w:trHeight w:val="375"/>
          <w:tblCellSpacing w:w="0" w:type="dxa"/>
          <w:jc w:val="center"/>
        </w:trPr>
        <w:tc>
          <w:tcPr>
            <w:tcW w:w="0" w:type="auto"/>
            <w:vAlign w:val="center"/>
            <w:hideMark/>
          </w:tcPr>
          <w:p w:rsidR="00123AE9" w:rsidRPr="00123AE9" w:rsidRDefault="00123AE9" w:rsidP="00123AE9">
            <w:pPr>
              <w:widowControl/>
              <w:spacing w:line="540" w:lineRule="atLeast"/>
              <w:jc w:val="center"/>
              <w:rPr>
                <w:rFonts w:ascii="ˎ̥" w:eastAsia="宋体" w:hAnsi="ˎ̥" w:cs="宋体" w:hint="eastAsia"/>
                <w:b/>
                <w:bCs/>
                <w:color w:val="DF0000"/>
                <w:kern w:val="0"/>
                <w:sz w:val="18"/>
                <w:szCs w:val="18"/>
              </w:rPr>
            </w:pPr>
            <w:r w:rsidRPr="00123AE9">
              <w:rPr>
                <w:rFonts w:ascii="ˎ̥" w:eastAsia="宋体" w:hAnsi="ˎ̥" w:cs="宋体"/>
                <w:b/>
                <w:bCs/>
                <w:color w:val="DF0000"/>
                <w:kern w:val="0"/>
                <w:sz w:val="18"/>
                <w:szCs w:val="18"/>
              </w:rPr>
              <w:t>国家税务总局公告</w:t>
            </w:r>
            <w:r w:rsidRPr="00123AE9">
              <w:rPr>
                <w:rFonts w:ascii="ˎ̥" w:eastAsia="宋体" w:hAnsi="ˎ̥" w:cs="宋体"/>
                <w:b/>
                <w:bCs/>
                <w:color w:val="DF0000"/>
                <w:kern w:val="0"/>
                <w:sz w:val="18"/>
                <w:szCs w:val="18"/>
              </w:rPr>
              <w:t>2010</w:t>
            </w:r>
            <w:r w:rsidRPr="00123AE9">
              <w:rPr>
                <w:rFonts w:ascii="ˎ̥" w:eastAsia="宋体" w:hAnsi="ˎ̥" w:cs="宋体"/>
                <w:b/>
                <w:bCs/>
                <w:color w:val="DF0000"/>
                <w:kern w:val="0"/>
                <w:sz w:val="18"/>
                <w:szCs w:val="18"/>
              </w:rPr>
              <w:t>年第</w:t>
            </w:r>
            <w:r w:rsidRPr="00123AE9">
              <w:rPr>
                <w:rFonts w:ascii="ˎ̥" w:eastAsia="宋体" w:hAnsi="ˎ̥" w:cs="宋体"/>
                <w:b/>
                <w:bCs/>
                <w:color w:val="DF0000"/>
                <w:kern w:val="0"/>
                <w:sz w:val="18"/>
                <w:szCs w:val="18"/>
              </w:rPr>
              <w:t>27</w:t>
            </w:r>
            <w:r w:rsidRPr="00123AE9">
              <w:rPr>
                <w:rFonts w:ascii="ˎ̥" w:eastAsia="宋体" w:hAnsi="ˎ̥" w:cs="宋体"/>
                <w:b/>
                <w:bCs/>
                <w:color w:val="DF0000"/>
                <w:kern w:val="0"/>
                <w:sz w:val="18"/>
                <w:szCs w:val="18"/>
              </w:rPr>
              <w:t>号</w:t>
            </w:r>
            <w:r w:rsidRPr="00123AE9">
              <w:rPr>
                <w:rFonts w:ascii="ˎ̥" w:eastAsia="宋体" w:hAnsi="ˎ̥" w:cs="宋体"/>
                <w:b/>
                <w:bCs/>
                <w:color w:val="DF0000"/>
                <w:kern w:val="0"/>
                <w:sz w:val="18"/>
                <w:szCs w:val="18"/>
              </w:rPr>
              <w:t xml:space="preserve"> </w:t>
            </w:r>
          </w:p>
        </w:tc>
      </w:tr>
      <w:tr w:rsidR="00123AE9" w:rsidRPr="00123AE9" w:rsidTr="00123AE9">
        <w:trPr>
          <w:tblCellSpacing w:w="0" w:type="dxa"/>
          <w:jc w:val="center"/>
        </w:trPr>
        <w:tc>
          <w:tcPr>
            <w:tcW w:w="0" w:type="auto"/>
            <w:vAlign w:val="center"/>
            <w:hideMark/>
          </w:tcPr>
          <w:p w:rsidR="00123AE9" w:rsidRPr="00123AE9" w:rsidRDefault="00123AE9" w:rsidP="00123AE9">
            <w:pPr>
              <w:widowControl/>
              <w:spacing w:line="540" w:lineRule="atLeast"/>
              <w:jc w:val="right"/>
              <w:rPr>
                <w:rFonts w:ascii="ˎ̥" w:eastAsia="宋体" w:hAnsi="ˎ̥" w:cs="宋体" w:hint="eastAsia"/>
                <w:color w:val="005DDC"/>
                <w:kern w:val="0"/>
                <w:sz w:val="18"/>
                <w:szCs w:val="18"/>
              </w:rPr>
            </w:pPr>
            <w:r w:rsidRPr="00123AE9">
              <w:rPr>
                <w:rFonts w:ascii="ˎ̥" w:eastAsia="宋体" w:hAnsi="ˎ̥" w:cs="宋体"/>
                <w:color w:val="FF0000"/>
                <w:kern w:val="0"/>
                <w:sz w:val="18"/>
                <w:szCs w:val="18"/>
              </w:rPr>
              <w:t>全文有效</w:t>
            </w:r>
            <w:r w:rsidRPr="00123AE9">
              <w:rPr>
                <w:rFonts w:ascii="ˎ̥" w:eastAsia="宋体" w:hAnsi="ˎ̥" w:cs="宋体"/>
                <w:color w:val="005DDC"/>
                <w:kern w:val="0"/>
                <w:sz w:val="18"/>
                <w:szCs w:val="18"/>
              </w:rPr>
              <w:t xml:space="preserve"> </w:t>
            </w:r>
            <w:r w:rsidRPr="00123AE9">
              <w:rPr>
                <w:rFonts w:ascii="ˎ̥" w:eastAsia="宋体" w:hAnsi="ˎ̥" w:cs="宋体"/>
                <w:color w:val="005DDC"/>
                <w:kern w:val="0"/>
                <w:sz w:val="18"/>
                <w:szCs w:val="18"/>
              </w:rPr>
              <w:t>成文日期：</w:t>
            </w:r>
            <w:r w:rsidRPr="00123AE9">
              <w:rPr>
                <w:rFonts w:ascii="ˎ̥" w:eastAsia="宋体" w:hAnsi="ˎ̥" w:cs="宋体"/>
                <w:color w:val="005DDC"/>
                <w:kern w:val="0"/>
                <w:sz w:val="18"/>
                <w:szCs w:val="18"/>
              </w:rPr>
              <w:t>2010-12-14</w:t>
            </w:r>
          </w:p>
        </w:tc>
      </w:tr>
      <w:tr w:rsidR="00123AE9" w:rsidRPr="00123AE9" w:rsidTr="00123AE9">
        <w:trPr>
          <w:tblCellSpacing w:w="0" w:type="dxa"/>
          <w:jc w:val="center"/>
        </w:trPr>
        <w:tc>
          <w:tcPr>
            <w:tcW w:w="0" w:type="auto"/>
            <w:tcMar>
              <w:top w:w="45" w:type="dxa"/>
              <w:left w:w="0" w:type="dxa"/>
              <w:bottom w:w="0" w:type="dxa"/>
              <w:right w:w="0" w:type="dxa"/>
            </w:tcMar>
            <w:vAlign w:val="center"/>
            <w:hideMark/>
          </w:tcPr>
          <w:p w:rsidR="00123AE9" w:rsidRPr="00123AE9" w:rsidRDefault="00123AE9" w:rsidP="00123AE9">
            <w:pPr>
              <w:widowControl/>
              <w:spacing w:line="270" w:lineRule="atLeast"/>
              <w:jc w:val="center"/>
              <w:rPr>
                <w:rFonts w:ascii="ˎ̥" w:eastAsia="宋体" w:hAnsi="ˎ̥" w:cs="宋体" w:hint="eastAsia"/>
                <w:b/>
                <w:bCs/>
                <w:color w:val="111111"/>
                <w:kern w:val="0"/>
                <w:sz w:val="20"/>
                <w:szCs w:val="20"/>
              </w:rPr>
            </w:pPr>
          </w:p>
        </w:tc>
      </w:tr>
    </w:tbl>
    <w:p w:rsidR="00123AE9" w:rsidRPr="00123AE9" w:rsidRDefault="00123AE9" w:rsidP="00123AE9">
      <w:pPr>
        <w:widowControl/>
        <w:jc w:val="center"/>
        <w:rPr>
          <w:rFonts w:ascii="宋体" w:eastAsia="宋体" w:hAnsi="宋体" w:cs="宋体"/>
          <w:vanish/>
          <w:kern w:val="0"/>
          <w:sz w:val="24"/>
          <w:szCs w:val="24"/>
        </w:rPr>
      </w:pPr>
    </w:p>
    <w:p w:rsidR="00123AE9" w:rsidRPr="00123AE9" w:rsidRDefault="00123AE9" w:rsidP="00123AE9">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123AE9" w:rsidRPr="00123AE9" w:rsidTr="00123AE9">
        <w:trPr>
          <w:tblCellSpacing w:w="0" w:type="dxa"/>
          <w:jc w:val="center"/>
        </w:trPr>
        <w:tc>
          <w:tcPr>
            <w:tcW w:w="0" w:type="auto"/>
            <w:vAlign w:val="center"/>
            <w:hideMark/>
          </w:tcPr>
          <w:p w:rsidR="00123AE9" w:rsidRPr="00123AE9" w:rsidRDefault="00123AE9" w:rsidP="00123AE9">
            <w:pPr>
              <w:widowControl/>
              <w:spacing w:line="540" w:lineRule="atLeast"/>
              <w:jc w:val="left"/>
              <w:rPr>
                <w:rFonts w:ascii="宋体" w:eastAsia="宋体" w:hAnsi="宋体" w:cs="宋体"/>
                <w:color w:val="000000"/>
                <w:kern w:val="0"/>
                <w:sz w:val="24"/>
                <w:szCs w:val="24"/>
              </w:rPr>
            </w:pPr>
            <w:r w:rsidRPr="00123AE9">
              <w:rPr>
                <w:rFonts w:ascii="宋体" w:eastAsia="宋体" w:hAnsi="宋体" w:cs="宋体" w:hint="eastAsia"/>
                <w:color w:val="000000"/>
                <w:kern w:val="0"/>
                <w:sz w:val="24"/>
                <w:szCs w:val="24"/>
              </w:rPr>
              <w:t xml:space="preserve">　　根据《中华人民共和国个人所得税法》及其实施条例、《中华人民共和国税收征收管理法》及其实施细则和《国家税务总局关于加强股权转让所得征收个人所得税管理的通知》（国税函[2009]285号）的有关规定，现将股权转让所得个人所得税计税依据核定问题公告如下：</w:t>
            </w:r>
            <w:r w:rsidRPr="00123AE9">
              <w:rPr>
                <w:rFonts w:ascii="宋体" w:eastAsia="宋体" w:hAnsi="宋体" w:cs="宋体" w:hint="eastAsia"/>
                <w:color w:val="000000"/>
                <w:kern w:val="0"/>
                <w:sz w:val="24"/>
                <w:szCs w:val="24"/>
              </w:rPr>
              <w:br/>
              <w:t xml:space="preserve">　　一、自然人转让所投资企业股权（份）（以下简称股权转让）取得所得，按照公平交易价格计算并确定计税依据。</w:t>
            </w:r>
            <w:r w:rsidRPr="00123AE9">
              <w:rPr>
                <w:rFonts w:ascii="宋体" w:eastAsia="宋体" w:hAnsi="宋体" w:cs="宋体" w:hint="eastAsia"/>
                <w:color w:val="000000"/>
                <w:kern w:val="0"/>
                <w:sz w:val="24"/>
                <w:szCs w:val="24"/>
              </w:rPr>
              <w:br/>
              <w:t xml:space="preserve">　　计税依据明显偏低且无正当理由的，主管税务机关可采用本公告列举的方法核定。</w:t>
            </w:r>
            <w:r w:rsidRPr="00123AE9">
              <w:rPr>
                <w:rFonts w:ascii="宋体" w:eastAsia="宋体" w:hAnsi="宋体" w:cs="宋体" w:hint="eastAsia"/>
                <w:color w:val="000000"/>
                <w:kern w:val="0"/>
                <w:sz w:val="24"/>
                <w:szCs w:val="24"/>
              </w:rPr>
              <w:br/>
              <w:t xml:space="preserve">　　二、计税依据明显偏低且无正当理由的判定方法</w:t>
            </w:r>
            <w:r w:rsidRPr="00123AE9">
              <w:rPr>
                <w:rFonts w:ascii="宋体" w:eastAsia="宋体" w:hAnsi="宋体" w:cs="宋体" w:hint="eastAsia"/>
                <w:color w:val="000000"/>
                <w:kern w:val="0"/>
                <w:sz w:val="24"/>
                <w:szCs w:val="24"/>
              </w:rPr>
              <w:br/>
              <w:t xml:space="preserve">　　（一）符合下列情形之一且无正当理由的，可视为计税依据明显偏低：</w:t>
            </w:r>
            <w:r w:rsidRPr="00123AE9">
              <w:rPr>
                <w:rFonts w:ascii="宋体" w:eastAsia="宋体" w:hAnsi="宋体" w:cs="宋体" w:hint="eastAsia"/>
                <w:color w:val="000000"/>
                <w:kern w:val="0"/>
                <w:sz w:val="24"/>
                <w:szCs w:val="24"/>
              </w:rPr>
              <w:br/>
              <w:t xml:space="preserve">　　1.申报的股权转让价格低于初始投资成本或低于取得该股权所支付的价款及相关税费的；</w:t>
            </w:r>
            <w:r w:rsidRPr="00123AE9">
              <w:rPr>
                <w:rFonts w:ascii="宋体" w:eastAsia="宋体" w:hAnsi="宋体" w:cs="宋体" w:hint="eastAsia"/>
                <w:color w:val="000000"/>
                <w:kern w:val="0"/>
                <w:sz w:val="24"/>
                <w:szCs w:val="24"/>
              </w:rPr>
              <w:br/>
              <w:t xml:space="preserve">　　2.申报的股权转让价格低于对应的净资产份额的；</w:t>
            </w:r>
            <w:r w:rsidRPr="00123AE9">
              <w:rPr>
                <w:rFonts w:ascii="宋体" w:eastAsia="宋体" w:hAnsi="宋体" w:cs="宋体" w:hint="eastAsia"/>
                <w:color w:val="000000"/>
                <w:kern w:val="0"/>
                <w:sz w:val="24"/>
                <w:szCs w:val="24"/>
              </w:rPr>
              <w:br/>
              <w:t xml:space="preserve">　　3.申报的股权转让价格低于相同或类似条件下同一企业同一股东或其他股东股权转让价格的；</w:t>
            </w:r>
            <w:r w:rsidRPr="00123AE9">
              <w:rPr>
                <w:rFonts w:ascii="宋体" w:eastAsia="宋体" w:hAnsi="宋体" w:cs="宋体" w:hint="eastAsia"/>
                <w:color w:val="000000"/>
                <w:kern w:val="0"/>
                <w:sz w:val="24"/>
                <w:szCs w:val="24"/>
              </w:rPr>
              <w:br/>
              <w:t xml:space="preserve">　　4.申报的股权转让价格低于相同或类似条件下同类行业的企业股权转让价格的；</w:t>
            </w:r>
            <w:r w:rsidRPr="00123AE9">
              <w:rPr>
                <w:rFonts w:ascii="宋体" w:eastAsia="宋体" w:hAnsi="宋体" w:cs="宋体" w:hint="eastAsia"/>
                <w:color w:val="000000"/>
                <w:kern w:val="0"/>
                <w:sz w:val="24"/>
                <w:szCs w:val="24"/>
              </w:rPr>
              <w:br/>
              <w:t xml:space="preserve">　　5.经主管税务机关认定的其他情形。</w:t>
            </w:r>
            <w:r w:rsidRPr="00123AE9">
              <w:rPr>
                <w:rFonts w:ascii="宋体" w:eastAsia="宋体" w:hAnsi="宋体" w:cs="宋体" w:hint="eastAsia"/>
                <w:color w:val="000000"/>
                <w:kern w:val="0"/>
                <w:sz w:val="24"/>
                <w:szCs w:val="24"/>
              </w:rPr>
              <w:br/>
            </w:r>
            <w:r w:rsidRPr="00123AE9">
              <w:rPr>
                <w:rFonts w:ascii="宋体" w:eastAsia="宋体" w:hAnsi="宋体" w:cs="宋体" w:hint="eastAsia"/>
                <w:color w:val="000000"/>
                <w:kern w:val="0"/>
                <w:sz w:val="24"/>
                <w:szCs w:val="24"/>
              </w:rPr>
              <w:lastRenderedPageBreak/>
              <w:t xml:space="preserve">　　（二）本条第一项所称正当理由，是指以下情形：</w:t>
            </w:r>
            <w:r w:rsidRPr="00123AE9">
              <w:rPr>
                <w:rFonts w:ascii="宋体" w:eastAsia="宋体" w:hAnsi="宋体" w:cs="宋体" w:hint="eastAsia"/>
                <w:color w:val="000000"/>
                <w:kern w:val="0"/>
                <w:sz w:val="24"/>
                <w:szCs w:val="24"/>
              </w:rPr>
              <w:br/>
              <w:t xml:space="preserve">　　1.所投资企业连续三年以上（含三年）亏损；</w:t>
            </w:r>
            <w:r w:rsidRPr="00123AE9">
              <w:rPr>
                <w:rFonts w:ascii="宋体" w:eastAsia="宋体" w:hAnsi="宋体" w:cs="宋体" w:hint="eastAsia"/>
                <w:color w:val="000000"/>
                <w:kern w:val="0"/>
                <w:sz w:val="24"/>
                <w:szCs w:val="24"/>
              </w:rPr>
              <w:br/>
              <w:t xml:space="preserve">　　2.因国家政策调整的原因而低价转让股权；</w:t>
            </w:r>
            <w:r w:rsidRPr="00123AE9">
              <w:rPr>
                <w:rFonts w:ascii="宋体" w:eastAsia="宋体" w:hAnsi="宋体" w:cs="宋体" w:hint="eastAsia"/>
                <w:color w:val="000000"/>
                <w:kern w:val="0"/>
                <w:sz w:val="24"/>
                <w:szCs w:val="24"/>
              </w:rPr>
              <w:br/>
              <w:t xml:space="preserve">　　3.将股权转让给配偶、父母、子女、祖父母、外祖父母、孙子女、外孙子女、兄弟姐妹以及对转让人承担直接抚养或者赡养义务的抚养人或者赡养人；</w:t>
            </w:r>
            <w:r w:rsidRPr="00123AE9">
              <w:rPr>
                <w:rFonts w:ascii="宋体" w:eastAsia="宋体" w:hAnsi="宋体" w:cs="宋体" w:hint="eastAsia"/>
                <w:color w:val="000000"/>
                <w:kern w:val="0"/>
                <w:sz w:val="24"/>
                <w:szCs w:val="24"/>
              </w:rPr>
              <w:br/>
              <w:t xml:space="preserve">　　4.经主管税务机关认定的其他合理情形。</w:t>
            </w:r>
            <w:r w:rsidRPr="00123AE9">
              <w:rPr>
                <w:rFonts w:ascii="宋体" w:eastAsia="宋体" w:hAnsi="宋体" w:cs="宋体" w:hint="eastAsia"/>
                <w:color w:val="000000"/>
                <w:kern w:val="0"/>
                <w:sz w:val="24"/>
                <w:szCs w:val="24"/>
              </w:rPr>
              <w:br/>
              <w:t xml:space="preserve">　　三、对申报的计税依据明显偏低且无正当理由的，可采取以下核定方法：</w:t>
            </w:r>
            <w:r w:rsidRPr="00123AE9">
              <w:rPr>
                <w:rFonts w:ascii="宋体" w:eastAsia="宋体" w:hAnsi="宋体" w:cs="宋体" w:hint="eastAsia"/>
                <w:color w:val="000000"/>
                <w:kern w:val="0"/>
                <w:sz w:val="24"/>
                <w:szCs w:val="24"/>
              </w:rPr>
              <w:br/>
              <w:t xml:space="preserve">　　（一）参照每股净资产或纳税人享有的股权比例所对应的净资产份额核定股权转让收入。</w:t>
            </w:r>
            <w:r w:rsidRPr="00123AE9">
              <w:rPr>
                <w:rFonts w:ascii="宋体" w:eastAsia="宋体" w:hAnsi="宋体" w:cs="宋体" w:hint="eastAsia"/>
                <w:color w:val="000000"/>
                <w:kern w:val="0"/>
                <w:sz w:val="24"/>
                <w:szCs w:val="24"/>
              </w:rPr>
              <w:br/>
              <w:t xml:space="preserve">　　对知识产权、土地使用权、房屋、探矿权、采矿权、股权等合计占资产总额比例达50%以上的企业，净资产额须经中介机构评估核实。</w:t>
            </w:r>
            <w:r w:rsidRPr="00123AE9">
              <w:rPr>
                <w:rFonts w:ascii="宋体" w:eastAsia="宋体" w:hAnsi="宋体" w:cs="宋体" w:hint="eastAsia"/>
                <w:color w:val="000000"/>
                <w:kern w:val="0"/>
                <w:sz w:val="24"/>
                <w:szCs w:val="24"/>
              </w:rPr>
              <w:br/>
              <w:t xml:space="preserve">　　（二）参照相同或类似条件下同一企业同一股东或其他股东股权转让价格核定股权转让收入。</w:t>
            </w:r>
            <w:r w:rsidRPr="00123AE9">
              <w:rPr>
                <w:rFonts w:ascii="宋体" w:eastAsia="宋体" w:hAnsi="宋体" w:cs="宋体" w:hint="eastAsia"/>
                <w:color w:val="000000"/>
                <w:kern w:val="0"/>
                <w:sz w:val="24"/>
                <w:szCs w:val="24"/>
              </w:rPr>
              <w:br/>
              <w:t xml:space="preserve">　　（三）参照相同或类似条件下同类行业的企业股权转让价格核定股权转让收入。</w:t>
            </w:r>
            <w:r w:rsidRPr="00123AE9">
              <w:rPr>
                <w:rFonts w:ascii="宋体" w:eastAsia="宋体" w:hAnsi="宋体" w:cs="宋体" w:hint="eastAsia"/>
                <w:color w:val="000000"/>
                <w:kern w:val="0"/>
                <w:sz w:val="24"/>
                <w:szCs w:val="24"/>
              </w:rPr>
              <w:br/>
              <w:t xml:space="preserve">　　（四）纳税人对主管税务机关采取的上述核定方法有异议的，应当提供相关证据，主管税务机关认定属实后，可采取其他合理的核定方法。</w:t>
            </w:r>
            <w:r w:rsidRPr="00123AE9">
              <w:rPr>
                <w:rFonts w:ascii="宋体" w:eastAsia="宋体" w:hAnsi="宋体" w:cs="宋体" w:hint="eastAsia"/>
                <w:color w:val="000000"/>
                <w:kern w:val="0"/>
                <w:sz w:val="24"/>
                <w:szCs w:val="24"/>
              </w:rPr>
              <w:br/>
              <w:t xml:space="preserve">　　四、纳税人再次转让所受让的股权的，股权转让的成本为前次转让的交易价格及买方负担的相关税费。</w:t>
            </w:r>
            <w:r w:rsidRPr="00123AE9">
              <w:rPr>
                <w:rFonts w:ascii="宋体" w:eastAsia="宋体" w:hAnsi="宋体" w:cs="宋体" w:hint="eastAsia"/>
                <w:color w:val="000000"/>
                <w:kern w:val="0"/>
                <w:sz w:val="24"/>
                <w:szCs w:val="24"/>
              </w:rPr>
              <w:br/>
              <w:t xml:space="preserve">　　各级税务机关应切实加强股权转让所得征收个人所得税的动态税源管理，通过建立电子台账，跟踪股权转让的交易价格和税费情况，保证股权交易链条中各环节转让收入和成本的真实性。</w:t>
            </w:r>
            <w:r w:rsidRPr="00123AE9">
              <w:rPr>
                <w:rFonts w:ascii="宋体" w:eastAsia="宋体" w:hAnsi="宋体" w:cs="宋体" w:hint="eastAsia"/>
                <w:color w:val="000000"/>
                <w:kern w:val="0"/>
                <w:sz w:val="24"/>
                <w:szCs w:val="24"/>
              </w:rPr>
              <w:br/>
              <w:t xml:space="preserve">　　五、本公告所称股权转让不包括上市公司股份转让。</w:t>
            </w:r>
            <w:r w:rsidRPr="00123AE9">
              <w:rPr>
                <w:rFonts w:ascii="宋体" w:eastAsia="宋体" w:hAnsi="宋体" w:cs="宋体" w:hint="eastAsia"/>
                <w:color w:val="000000"/>
                <w:kern w:val="0"/>
                <w:sz w:val="24"/>
                <w:szCs w:val="24"/>
              </w:rPr>
              <w:br/>
              <w:t xml:space="preserve">　　六、本公告自发布之日起30日后施行。</w:t>
            </w:r>
            <w:r w:rsidRPr="00123AE9">
              <w:rPr>
                <w:rFonts w:ascii="宋体" w:eastAsia="宋体" w:hAnsi="宋体" w:cs="宋体" w:hint="eastAsia"/>
                <w:color w:val="000000"/>
                <w:kern w:val="0"/>
                <w:sz w:val="24"/>
                <w:szCs w:val="24"/>
              </w:rPr>
              <w:br/>
              <w:t xml:space="preserve">　　特此公告。</w:t>
            </w:r>
          </w:p>
          <w:p w:rsidR="00123AE9" w:rsidRPr="00123AE9" w:rsidRDefault="00123AE9" w:rsidP="00123AE9">
            <w:pPr>
              <w:widowControl/>
              <w:spacing w:line="540" w:lineRule="atLeast"/>
              <w:jc w:val="left"/>
              <w:rPr>
                <w:rFonts w:ascii="宋体" w:eastAsia="宋体" w:hAnsi="宋体" w:cs="宋体"/>
                <w:color w:val="000000"/>
                <w:kern w:val="0"/>
                <w:sz w:val="24"/>
                <w:szCs w:val="24"/>
              </w:rPr>
            </w:pPr>
          </w:p>
          <w:p w:rsidR="00123AE9" w:rsidRPr="00123AE9" w:rsidRDefault="00123AE9" w:rsidP="00123AE9">
            <w:pPr>
              <w:widowControl/>
              <w:spacing w:line="540" w:lineRule="atLeast"/>
              <w:jc w:val="right"/>
              <w:rPr>
                <w:rFonts w:ascii="宋体" w:eastAsia="宋体" w:hAnsi="宋体" w:cs="宋体"/>
                <w:color w:val="000000"/>
                <w:kern w:val="0"/>
                <w:sz w:val="24"/>
                <w:szCs w:val="24"/>
              </w:rPr>
            </w:pPr>
            <w:r w:rsidRPr="00123AE9">
              <w:rPr>
                <w:rFonts w:ascii="宋体" w:eastAsia="宋体" w:hAnsi="宋体" w:cs="宋体" w:hint="eastAsia"/>
                <w:color w:val="000000"/>
                <w:kern w:val="0"/>
                <w:sz w:val="24"/>
                <w:szCs w:val="24"/>
              </w:rPr>
              <w:t>国家税务总局</w:t>
            </w:r>
            <w:r w:rsidRPr="00123AE9">
              <w:rPr>
                <w:rFonts w:ascii="宋体" w:eastAsia="宋体" w:hAnsi="宋体" w:cs="宋体" w:hint="eastAsia"/>
                <w:color w:val="000000"/>
                <w:kern w:val="0"/>
                <w:sz w:val="24"/>
                <w:szCs w:val="24"/>
              </w:rPr>
              <w:br/>
              <w:t>二○一○年十二月十四日</w:t>
            </w:r>
          </w:p>
          <w:p w:rsidR="00123AE9" w:rsidRPr="00123AE9" w:rsidRDefault="00123AE9" w:rsidP="00123AE9">
            <w:pPr>
              <w:widowControl/>
              <w:spacing w:line="540" w:lineRule="atLeast"/>
              <w:jc w:val="left"/>
              <w:rPr>
                <w:rFonts w:ascii="宋体" w:eastAsia="宋体" w:hAnsi="宋体" w:cs="宋体"/>
                <w:color w:val="000000"/>
                <w:kern w:val="0"/>
                <w:sz w:val="24"/>
                <w:szCs w:val="24"/>
              </w:rPr>
            </w:pPr>
            <w:r w:rsidRPr="00123AE9">
              <w:rPr>
                <w:rFonts w:ascii="宋体" w:eastAsia="宋体" w:hAnsi="宋体" w:cs="宋体" w:hint="eastAsia"/>
                <w:color w:val="000000"/>
                <w:kern w:val="0"/>
                <w:sz w:val="24"/>
                <w:szCs w:val="24"/>
              </w:rPr>
              <w:t xml:space="preserve">　　分送：各省、自治区、直辖市和计划单列市国家税务局，地方税务局。</w:t>
            </w:r>
          </w:p>
        </w:tc>
      </w:tr>
      <w:bookmarkEnd w:id="0"/>
    </w:tbl>
    <w:p w:rsidR="00AB2D9F" w:rsidRPr="00123AE9" w:rsidRDefault="00AB2D9F"/>
    <w:sectPr w:rsidR="00AB2D9F" w:rsidRPr="00123AE9" w:rsidSect="00AB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3AE9"/>
    <w:rsid w:val="00005A8D"/>
    <w:rsid w:val="00006DD9"/>
    <w:rsid w:val="0001168D"/>
    <w:rsid w:val="00011723"/>
    <w:rsid w:val="00021A3C"/>
    <w:rsid w:val="00036C0E"/>
    <w:rsid w:val="00037946"/>
    <w:rsid w:val="00061011"/>
    <w:rsid w:val="00063EF1"/>
    <w:rsid w:val="00066EB6"/>
    <w:rsid w:val="00074BD8"/>
    <w:rsid w:val="00075D91"/>
    <w:rsid w:val="00080A67"/>
    <w:rsid w:val="0008602B"/>
    <w:rsid w:val="00095AEE"/>
    <w:rsid w:val="000A1A59"/>
    <w:rsid w:val="000A2657"/>
    <w:rsid w:val="000B2C11"/>
    <w:rsid w:val="000C2B2D"/>
    <w:rsid w:val="000C6A6B"/>
    <w:rsid w:val="000D1106"/>
    <w:rsid w:val="000D4295"/>
    <w:rsid w:val="000F0D45"/>
    <w:rsid w:val="00103A0F"/>
    <w:rsid w:val="001205B1"/>
    <w:rsid w:val="00123AE9"/>
    <w:rsid w:val="00131187"/>
    <w:rsid w:val="00132B73"/>
    <w:rsid w:val="00150412"/>
    <w:rsid w:val="00157792"/>
    <w:rsid w:val="00157C6A"/>
    <w:rsid w:val="00162471"/>
    <w:rsid w:val="001662E5"/>
    <w:rsid w:val="001746EA"/>
    <w:rsid w:val="00194C62"/>
    <w:rsid w:val="00196714"/>
    <w:rsid w:val="001A125A"/>
    <w:rsid w:val="001A298C"/>
    <w:rsid w:val="001A3844"/>
    <w:rsid w:val="001A6489"/>
    <w:rsid w:val="001C3C89"/>
    <w:rsid w:val="001C3E0C"/>
    <w:rsid w:val="001D1DFD"/>
    <w:rsid w:val="001E4289"/>
    <w:rsid w:val="001F2428"/>
    <w:rsid w:val="00205721"/>
    <w:rsid w:val="002104EF"/>
    <w:rsid w:val="0021453F"/>
    <w:rsid w:val="0021562C"/>
    <w:rsid w:val="00227219"/>
    <w:rsid w:val="002357CA"/>
    <w:rsid w:val="00235E3A"/>
    <w:rsid w:val="0024115A"/>
    <w:rsid w:val="00243540"/>
    <w:rsid w:val="00245DB0"/>
    <w:rsid w:val="00266616"/>
    <w:rsid w:val="00266734"/>
    <w:rsid w:val="00271677"/>
    <w:rsid w:val="00273246"/>
    <w:rsid w:val="002917C4"/>
    <w:rsid w:val="002944BD"/>
    <w:rsid w:val="00296341"/>
    <w:rsid w:val="002A1872"/>
    <w:rsid w:val="002A6009"/>
    <w:rsid w:val="002A6628"/>
    <w:rsid w:val="002B064D"/>
    <w:rsid w:val="002B1CFB"/>
    <w:rsid w:val="002B446B"/>
    <w:rsid w:val="002C07E2"/>
    <w:rsid w:val="002C7C4D"/>
    <w:rsid w:val="002D2DDD"/>
    <w:rsid w:val="002D48B5"/>
    <w:rsid w:val="002F044A"/>
    <w:rsid w:val="00320C96"/>
    <w:rsid w:val="00320F77"/>
    <w:rsid w:val="003416DD"/>
    <w:rsid w:val="003450A3"/>
    <w:rsid w:val="00351735"/>
    <w:rsid w:val="00355448"/>
    <w:rsid w:val="0035621C"/>
    <w:rsid w:val="003727DB"/>
    <w:rsid w:val="00390B72"/>
    <w:rsid w:val="003A0009"/>
    <w:rsid w:val="003A06F3"/>
    <w:rsid w:val="003A3D0D"/>
    <w:rsid w:val="003A67FB"/>
    <w:rsid w:val="003B6CB2"/>
    <w:rsid w:val="003D20F5"/>
    <w:rsid w:val="003E445C"/>
    <w:rsid w:val="004137AE"/>
    <w:rsid w:val="00417D54"/>
    <w:rsid w:val="00426D65"/>
    <w:rsid w:val="00433879"/>
    <w:rsid w:val="00436B37"/>
    <w:rsid w:val="00444E62"/>
    <w:rsid w:val="00446C6B"/>
    <w:rsid w:val="00461283"/>
    <w:rsid w:val="00461E08"/>
    <w:rsid w:val="00463240"/>
    <w:rsid w:val="00470700"/>
    <w:rsid w:val="0047357E"/>
    <w:rsid w:val="00476284"/>
    <w:rsid w:val="00491913"/>
    <w:rsid w:val="004A209B"/>
    <w:rsid w:val="004B2C5F"/>
    <w:rsid w:val="004B648D"/>
    <w:rsid w:val="004C3DA4"/>
    <w:rsid w:val="004C4374"/>
    <w:rsid w:val="004D1C83"/>
    <w:rsid w:val="004D50A8"/>
    <w:rsid w:val="004D74B9"/>
    <w:rsid w:val="004E070D"/>
    <w:rsid w:val="004E1856"/>
    <w:rsid w:val="004E6D09"/>
    <w:rsid w:val="004F3162"/>
    <w:rsid w:val="004F48DA"/>
    <w:rsid w:val="005005A5"/>
    <w:rsid w:val="00504293"/>
    <w:rsid w:val="00504317"/>
    <w:rsid w:val="00511C19"/>
    <w:rsid w:val="00523D05"/>
    <w:rsid w:val="00536496"/>
    <w:rsid w:val="00543EDB"/>
    <w:rsid w:val="0054443C"/>
    <w:rsid w:val="005547C9"/>
    <w:rsid w:val="005568D2"/>
    <w:rsid w:val="0056044E"/>
    <w:rsid w:val="00567443"/>
    <w:rsid w:val="00590704"/>
    <w:rsid w:val="005A5D9F"/>
    <w:rsid w:val="005B2EC9"/>
    <w:rsid w:val="005B33B2"/>
    <w:rsid w:val="005B6BBE"/>
    <w:rsid w:val="005C136D"/>
    <w:rsid w:val="005C160C"/>
    <w:rsid w:val="005D3B70"/>
    <w:rsid w:val="005D57F5"/>
    <w:rsid w:val="005D79C5"/>
    <w:rsid w:val="005E181F"/>
    <w:rsid w:val="005E55F7"/>
    <w:rsid w:val="005E7569"/>
    <w:rsid w:val="005E791F"/>
    <w:rsid w:val="005F1484"/>
    <w:rsid w:val="00611DA7"/>
    <w:rsid w:val="0061371C"/>
    <w:rsid w:val="006241CF"/>
    <w:rsid w:val="0062605B"/>
    <w:rsid w:val="006337D6"/>
    <w:rsid w:val="00644498"/>
    <w:rsid w:val="00664167"/>
    <w:rsid w:val="00664185"/>
    <w:rsid w:val="00675BD1"/>
    <w:rsid w:val="00677D9E"/>
    <w:rsid w:val="00680ADA"/>
    <w:rsid w:val="00685546"/>
    <w:rsid w:val="00693EDE"/>
    <w:rsid w:val="00694265"/>
    <w:rsid w:val="006B2B82"/>
    <w:rsid w:val="006B3E05"/>
    <w:rsid w:val="006B47CD"/>
    <w:rsid w:val="006B73B9"/>
    <w:rsid w:val="006C3AAC"/>
    <w:rsid w:val="006C5014"/>
    <w:rsid w:val="006D0B34"/>
    <w:rsid w:val="006D700F"/>
    <w:rsid w:val="006E3086"/>
    <w:rsid w:val="006F36CD"/>
    <w:rsid w:val="006F5CC8"/>
    <w:rsid w:val="00702012"/>
    <w:rsid w:val="00707B85"/>
    <w:rsid w:val="00716997"/>
    <w:rsid w:val="0071773F"/>
    <w:rsid w:val="00722415"/>
    <w:rsid w:val="00722819"/>
    <w:rsid w:val="00730A9E"/>
    <w:rsid w:val="00733801"/>
    <w:rsid w:val="00736384"/>
    <w:rsid w:val="00736BA5"/>
    <w:rsid w:val="007413B5"/>
    <w:rsid w:val="0076355D"/>
    <w:rsid w:val="007714B6"/>
    <w:rsid w:val="00785CB7"/>
    <w:rsid w:val="00786CAA"/>
    <w:rsid w:val="007B3B72"/>
    <w:rsid w:val="007C58F7"/>
    <w:rsid w:val="007D0591"/>
    <w:rsid w:val="007D108B"/>
    <w:rsid w:val="007D68B9"/>
    <w:rsid w:val="007D6A13"/>
    <w:rsid w:val="007D7229"/>
    <w:rsid w:val="007F05A7"/>
    <w:rsid w:val="007F2789"/>
    <w:rsid w:val="007F4500"/>
    <w:rsid w:val="007F6C9E"/>
    <w:rsid w:val="00811436"/>
    <w:rsid w:val="00815DF3"/>
    <w:rsid w:val="00823E3C"/>
    <w:rsid w:val="0082577F"/>
    <w:rsid w:val="00833F45"/>
    <w:rsid w:val="008423C1"/>
    <w:rsid w:val="00843FEC"/>
    <w:rsid w:val="00844D51"/>
    <w:rsid w:val="00847800"/>
    <w:rsid w:val="0085001C"/>
    <w:rsid w:val="0085609C"/>
    <w:rsid w:val="00863770"/>
    <w:rsid w:val="00867EF7"/>
    <w:rsid w:val="00873DA6"/>
    <w:rsid w:val="00881D72"/>
    <w:rsid w:val="00882FEC"/>
    <w:rsid w:val="008901DB"/>
    <w:rsid w:val="00892557"/>
    <w:rsid w:val="00892D31"/>
    <w:rsid w:val="008A6BF1"/>
    <w:rsid w:val="008A7E82"/>
    <w:rsid w:val="008B1F75"/>
    <w:rsid w:val="008B7FDF"/>
    <w:rsid w:val="008C0DC1"/>
    <w:rsid w:val="008D08CB"/>
    <w:rsid w:val="008D0DFD"/>
    <w:rsid w:val="008D20F9"/>
    <w:rsid w:val="008D50D3"/>
    <w:rsid w:val="008E0D70"/>
    <w:rsid w:val="008E1D10"/>
    <w:rsid w:val="008E48E8"/>
    <w:rsid w:val="008E754F"/>
    <w:rsid w:val="008F64AB"/>
    <w:rsid w:val="008F70D9"/>
    <w:rsid w:val="00906646"/>
    <w:rsid w:val="00906EDD"/>
    <w:rsid w:val="00921907"/>
    <w:rsid w:val="0093135C"/>
    <w:rsid w:val="0094441B"/>
    <w:rsid w:val="009A2273"/>
    <w:rsid w:val="009A2BB1"/>
    <w:rsid w:val="009A3F8D"/>
    <w:rsid w:val="009B5388"/>
    <w:rsid w:val="009B6352"/>
    <w:rsid w:val="009C5F76"/>
    <w:rsid w:val="009D0D65"/>
    <w:rsid w:val="009D1008"/>
    <w:rsid w:val="009D5941"/>
    <w:rsid w:val="009D619F"/>
    <w:rsid w:val="009D7AF2"/>
    <w:rsid w:val="009F57C3"/>
    <w:rsid w:val="009F58ED"/>
    <w:rsid w:val="009F5994"/>
    <w:rsid w:val="00A063F5"/>
    <w:rsid w:val="00A12F59"/>
    <w:rsid w:val="00A143E9"/>
    <w:rsid w:val="00A15A86"/>
    <w:rsid w:val="00A16328"/>
    <w:rsid w:val="00A17881"/>
    <w:rsid w:val="00A17F38"/>
    <w:rsid w:val="00A304DA"/>
    <w:rsid w:val="00A30AD4"/>
    <w:rsid w:val="00A411E2"/>
    <w:rsid w:val="00A42615"/>
    <w:rsid w:val="00A45B9C"/>
    <w:rsid w:val="00A47FBF"/>
    <w:rsid w:val="00A644EE"/>
    <w:rsid w:val="00A70FDF"/>
    <w:rsid w:val="00A730A5"/>
    <w:rsid w:val="00A7602E"/>
    <w:rsid w:val="00A818FC"/>
    <w:rsid w:val="00A821CB"/>
    <w:rsid w:val="00A84E2A"/>
    <w:rsid w:val="00A87385"/>
    <w:rsid w:val="00A90372"/>
    <w:rsid w:val="00AB2D9F"/>
    <w:rsid w:val="00AB2F80"/>
    <w:rsid w:val="00AB50E1"/>
    <w:rsid w:val="00AB5F27"/>
    <w:rsid w:val="00AB6163"/>
    <w:rsid w:val="00AC6980"/>
    <w:rsid w:val="00AC7A0E"/>
    <w:rsid w:val="00AF3AD9"/>
    <w:rsid w:val="00B033CF"/>
    <w:rsid w:val="00B054D8"/>
    <w:rsid w:val="00B11056"/>
    <w:rsid w:val="00B16149"/>
    <w:rsid w:val="00B21B32"/>
    <w:rsid w:val="00B240EF"/>
    <w:rsid w:val="00B25A6C"/>
    <w:rsid w:val="00B26022"/>
    <w:rsid w:val="00B34389"/>
    <w:rsid w:val="00B37195"/>
    <w:rsid w:val="00B64CDE"/>
    <w:rsid w:val="00B654BC"/>
    <w:rsid w:val="00B705EF"/>
    <w:rsid w:val="00B765C1"/>
    <w:rsid w:val="00B90608"/>
    <w:rsid w:val="00B948C5"/>
    <w:rsid w:val="00BA0248"/>
    <w:rsid w:val="00BA1A9E"/>
    <w:rsid w:val="00BB0085"/>
    <w:rsid w:val="00BB141E"/>
    <w:rsid w:val="00BB2925"/>
    <w:rsid w:val="00BC21F9"/>
    <w:rsid w:val="00BD1D80"/>
    <w:rsid w:val="00BD234E"/>
    <w:rsid w:val="00BD5F46"/>
    <w:rsid w:val="00BE0A70"/>
    <w:rsid w:val="00BE4859"/>
    <w:rsid w:val="00C06D05"/>
    <w:rsid w:val="00C07A9D"/>
    <w:rsid w:val="00C15E4D"/>
    <w:rsid w:val="00C1743E"/>
    <w:rsid w:val="00C20253"/>
    <w:rsid w:val="00C27E98"/>
    <w:rsid w:val="00C3532E"/>
    <w:rsid w:val="00C438E5"/>
    <w:rsid w:val="00C45B76"/>
    <w:rsid w:val="00C46DEF"/>
    <w:rsid w:val="00C536CC"/>
    <w:rsid w:val="00C64BAE"/>
    <w:rsid w:val="00C75E6E"/>
    <w:rsid w:val="00C84D4D"/>
    <w:rsid w:val="00C9759B"/>
    <w:rsid w:val="00CB1378"/>
    <w:rsid w:val="00CC163B"/>
    <w:rsid w:val="00CD07AA"/>
    <w:rsid w:val="00CE0F9E"/>
    <w:rsid w:val="00CF0143"/>
    <w:rsid w:val="00CF7357"/>
    <w:rsid w:val="00D14B31"/>
    <w:rsid w:val="00D236B4"/>
    <w:rsid w:val="00D25E38"/>
    <w:rsid w:val="00D30672"/>
    <w:rsid w:val="00D31E6B"/>
    <w:rsid w:val="00D352C0"/>
    <w:rsid w:val="00D37F08"/>
    <w:rsid w:val="00D42B23"/>
    <w:rsid w:val="00D43452"/>
    <w:rsid w:val="00D45FCE"/>
    <w:rsid w:val="00D71E6E"/>
    <w:rsid w:val="00D846C6"/>
    <w:rsid w:val="00D86373"/>
    <w:rsid w:val="00D91B56"/>
    <w:rsid w:val="00D92734"/>
    <w:rsid w:val="00D9690E"/>
    <w:rsid w:val="00DA3248"/>
    <w:rsid w:val="00DA5826"/>
    <w:rsid w:val="00DB5D70"/>
    <w:rsid w:val="00DC3376"/>
    <w:rsid w:val="00DC3538"/>
    <w:rsid w:val="00DD6897"/>
    <w:rsid w:val="00DE5E8B"/>
    <w:rsid w:val="00DE7F3C"/>
    <w:rsid w:val="00DF2B42"/>
    <w:rsid w:val="00DF7845"/>
    <w:rsid w:val="00E008F0"/>
    <w:rsid w:val="00E01661"/>
    <w:rsid w:val="00E048A6"/>
    <w:rsid w:val="00E1481D"/>
    <w:rsid w:val="00E14E6C"/>
    <w:rsid w:val="00E159C1"/>
    <w:rsid w:val="00E20F0F"/>
    <w:rsid w:val="00E24D1C"/>
    <w:rsid w:val="00E346A1"/>
    <w:rsid w:val="00E414B6"/>
    <w:rsid w:val="00E4719F"/>
    <w:rsid w:val="00E507B1"/>
    <w:rsid w:val="00E52A3F"/>
    <w:rsid w:val="00E63826"/>
    <w:rsid w:val="00E659B9"/>
    <w:rsid w:val="00E66BA9"/>
    <w:rsid w:val="00E764BF"/>
    <w:rsid w:val="00E77886"/>
    <w:rsid w:val="00E81FAE"/>
    <w:rsid w:val="00E921F3"/>
    <w:rsid w:val="00EA5A0C"/>
    <w:rsid w:val="00EB4D01"/>
    <w:rsid w:val="00EB7E2E"/>
    <w:rsid w:val="00EC3B2D"/>
    <w:rsid w:val="00EC64C5"/>
    <w:rsid w:val="00ED407D"/>
    <w:rsid w:val="00EE33A1"/>
    <w:rsid w:val="00EE42C3"/>
    <w:rsid w:val="00EF1022"/>
    <w:rsid w:val="00F148EE"/>
    <w:rsid w:val="00F156C3"/>
    <w:rsid w:val="00F16A0C"/>
    <w:rsid w:val="00F2546E"/>
    <w:rsid w:val="00F25B4B"/>
    <w:rsid w:val="00F26C4D"/>
    <w:rsid w:val="00F33216"/>
    <w:rsid w:val="00F60AA8"/>
    <w:rsid w:val="00F64B88"/>
    <w:rsid w:val="00F70C7D"/>
    <w:rsid w:val="00F73953"/>
    <w:rsid w:val="00F744ED"/>
    <w:rsid w:val="00F74914"/>
    <w:rsid w:val="00F75AAC"/>
    <w:rsid w:val="00F8761F"/>
    <w:rsid w:val="00F93BC3"/>
    <w:rsid w:val="00F95D10"/>
    <w:rsid w:val="00FA04BC"/>
    <w:rsid w:val="00FA1CFA"/>
    <w:rsid w:val="00FA5AB1"/>
    <w:rsid w:val="00FA5C37"/>
    <w:rsid w:val="00FB7E4D"/>
    <w:rsid w:val="00FE3AE8"/>
    <w:rsid w:val="00FE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3AE9"/>
    <w:rPr>
      <w:strike w:val="0"/>
      <w:dstrike w:val="0"/>
      <w:color w:val="222222"/>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09986">
      <w:bodyDiv w:val="1"/>
      <w:marLeft w:val="0"/>
      <w:marRight w:val="0"/>
      <w:marTop w:val="0"/>
      <w:marBottom w:val="0"/>
      <w:divBdr>
        <w:top w:val="none" w:sz="0" w:space="0" w:color="auto"/>
        <w:left w:val="none" w:sz="0" w:space="0" w:color="auto"/>
        <w:bottom w:val="none" w:sz="0" w:space="0" w:color="auto"/>
        <w:right w:val="none" w:sz="0" w:space="0" w:color="auto"/>
      </w:divBdr>
      <w:divsChild>
        <w:div w:id="1703047011">
          <w:marLeft w:val="0"/>
          <w:marRight w:val="0"/>
          <w:marTop w:val="0"/>
          <w:marBottom w:val="0"/>
          <w:divBdr>
            <w:top w:val="none" w:sz="0" w:space="0" w:color="auto"/>
            <w:left w:val="none" w:sz="0" w:space="0" w:color="auto"/>
            <w:bottom w:val="none" w:sz="0" w:space="0" w:color="auto"/>
            <w:right w:val="none" w:sz="0" w:space="0" w:color="auto"/>
          </w:divBdr>
        </w:div>
        <w:div w:id="1538809721">
          <w:marLeft w:val="0"/>
          <w:marRight w:val="0"/>
          <w:marTop w:val="0"/>
          <w:marBottom w:val="0"/>
          <w:divBdr>
            <w:top w:val="none" w:sz="0" w:space="0" w:color="auto"/>
            <w:left w:val="none" w:sz="0" w:space="0" w:color="auto"/>
            <w:bottom w:val="none" w:sz="0" w:space="0" w:color="auto"/>
            <w:right w:val="none" w:sz="0" w:space="0" w:color="auto"/>
          </w:divBdr>
        </w:div>
        <w:div w:id="1535773822">
          <w:marLeft w:val="0"/>
          <w:marRight w:val="0"/>
          <w:marTop w:val="0"/>
          <w:marBottom w:val="0"/>
          <w:divBdr>
            <w:top w:val="none" w:sz="0" w:space="0" w:color="auto"/>
            <w:left w:val="none" w:sz="0" w:space="0" w:color="auto"/>
            <w:bottom w:val="none" w:sz="0" w:space="0" w:color="auto"/>
            <w:right w:val="none" w:sz="0" w:space="0" w:color="auto"/>
          </w:divBdr>
        </w:div>
        <w:div w:id="1213151370">
          <w:marLeft w:val="0"/>
          <w:marRight w:val="0"/>
          <w:marTop w:val="0"/>
          <w:marBottom w:val="0"/>
          <w:divBdr>
            <w:top w:val="none" w:sz="0" w:space="0" w:color="auto"/>
            <w:left w:val="none" w:sz="0" w:space="0" w:color="auto"/>
            <w:bottom w:val="none" w:sz="0" w:space="0" w:color="auto"/>
            <w:right w:val="none" w:sz="0" w:space="0" w:color="auto"/>
          </w:divBdr>
        </w:div>
        <w:div w:id="306251935">
          <w:marLeft w:val="0"/>
          <w:marRight w:val="0"/>
          <w:marTop w:val="0"/>
          <w:marBottom w:val="0"/>
          <w:divBdr>
            <w:top w:val="none" w:sz="0" w:space="0" w:color="auto"/>
            <w:left w:val="none" w:sz="0" w:space="0" w:color="auto"/>
            <w:bottom w:val="none" w:sz="0" w:space="0" w:color="auto"/>
            <w:right w:val="none" w:sz="0" w:space="0" w:color="auto"/>
          </w:divBdr>
        </w:div>
        <w:div w:id="99584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chengyuan</cp:lastModifiedBy>
  <cp:revision>2</cp:revision>
  <dcterms:created xsi:type="dcterms:W3CDTF">2013-08-30T02:20:00Z</dcterms:created>
  <dcterms:modified xsi:type="dcterms:W3CDTF">2013-10-12T06:58:00Z</dcterms:modified>
</cp:coreProperties>
</file>