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23" w:rsidRDefault="00F75223" w:rsidP="00F75223">
      <w:pPr>
        <w:pStyle w:val="a3"/>
        <w:spacing w:line="360" w:lineRule="auto"/>
        <w:rPr>
          <w:rFonts w:ascii="simsun" w:hAnsi="simsun"/>
          <w:color w:val="323E32"/>
          <w:sz w:val="21"/>
          <w:szCs w:val="21"/>
        </w:rPr>
      </w:pPr>
      <w:r>
        <w:rPr>
          <w:rFonts w:ascii="华文中宋" w:eastAsia="华文中宋" w:hAnsi="华文中宋" w:hint="eastAsia"/>
          <w:color w:val="323E32"/>
          <w:sz w:val="44"/>
          <w:szCs w:val="44"/>
        </w:rPr>
        <w:t>国家税务总局关于杜邦中国集团有限公司以前年度补充养老金计算缴纳个人所得税问题的批复</w:t>
      </w:r>
      <w:bookmarkStart w:id="0" w:name="_GoBack"/>
      <w:bookmarkEnd w:id="0"/>
    </w:p>
    <w:p w:rsidR="00F75223" w:rsidRDefault="00F75223" w:rsidP="00F75223">
      <w:pPr>
        <w:pStyle w:val="a3"/>
        <w:spacing w:line="360" w:lineRule="auto"/>
        <w:rPr>
          <w:rFonts w:ascii="simsun" w:hAnsi="simsun"/>
          <w:color w:val="323E32"/>
          <w:sz w:val="21"/>
          <w:szCs w:val="21"/>
        </w:rPr>
      </w:pPr>
      <w:proofErr w:type="gramStart"/>
      <w:r>
        <w:rPr>
          <w:rFonts w:ascii="华文中宋" w:eastAsia="华文中宋" w:hAnsi="华文中宋" w:hint="eastAsia"/>
          <w:color w:val="323E32"/>
          <w:sz w:val="44"/>
          <w:szCs w:val="44"/>
        </w:rPr>
        <w:t>税总函</w:t>
      </w:r>
      <w:proofErr w:type="gramEnd"/>
      <w:r>
        <w:rPr>
          <w:rFonts w:ascii="华文中宋" w:eastAsia="华文中宋" w:hAnsi="华文中宋" w:hint="eastAsia"/>
          <w:color w:val="323E32"/>
          <w:sz w:val="44"/>
          <w:szCs w:val="44"/>
        </w:rPr>
        <w:t>〔2013〕23号</w:t>
      </w:r>
    </w:p>
    <w:p w:rsidR="00F75223" w:rsidRDefault="00F75223" w:rsidP="00F75223">
      <w:pPr>
        <w:pStyle w:val="a3"/>
        <w:spacing w:line="360" w:lineRule="auto"/>
        <w:rPr>
          <w:rFonts w:ascii="simsun" w:hAnsi="simsun"/>
          <w:color w:val="323E32"/>
          <w:sz w:val="21"/>
          <w:szCs w:val="21"/>
        </w:rPr>
      </w:pPr>
      <w:r>
        <w:rPr>
          <w:rFonts w:ascii="微软雅黑" w:eastAsia="微软雅黑" w:hAnsi="微软雅黑" w:hint="eastAsia"/>
          <w:b/>
          <w:color w:val="323E32"/>
          <w:spacing w:val="12"/>
          <w:sz w:val="28"/>
          <w:szCs w:val="28"/>
        </w:rPr>
        <w:t>深圳市地方税务局：</w:t>
      </w:r>
    </w:p>
    <w:p w:rsidR="00F75223" w:rsidRDefault="00F75223" w:rsidP="00F75223">
      <w:pPr>
        <w:pStyle w:val="a3"/>
        <w:spacing w:line="360" w:lineRule="auto"/>
        <w:rPr>
          <w:rFonts w:ascii="simsun" w:hAnsi="simsun"/>
          <w:color w:val="323E32"/>
          <w:sz w:val="21"/>
          <w:szCs w:val="21"/>
        </w:rPr>
      </w:pPr>
      <w:r>
        <w:rPr>
          <w:rFonts w:ascii="微软雅黑" w:eastAsia="微软雅黑" w:hAnsi="微软雅黑" w:hint="eastAsia"/>
          <w:b/>
          <w:color w:val="323E32"/>
          <w:spacing w:val="12"/>
          <w:sz w:val="28"/>
          <w:szCs w:val="28"/>
        </w:rPr>
        <w:t xml:space="preserve">　　你局《关于杜邦中国集团有限公司以前年度补充养老金计征个人所得税问题的请示》（深地税发〔2012〕312号）收悉。经研究，批复如下：</w:t>
      </w:r>
    </w:p>
    <w:p w:rsidR="00F75223" w:rsidRDefault="00F75223" w:rsidP="00F75223">
      <w:pPr>
        <w:pStyle w:val="a3"/>
        <w:spacing w:line="360" w:lineRule="auto"/>
        <w:rPr>
          <w:rFonts w:ascii="simsun" w:hAnsi="simsun"/>
          <w:color w:val="323E32"/>
          <w:sz w:val="21"/>
          <w:szCs w:val="21"/>
        </w:rPr>
      </w:pPr>
      <w:r>
        <w:rPr>
          <w:rFonts w:ascii="微软雅黑" w:eastAsia="微软雅黑" w:hAnsi="微软雅黑" w:hint="eastAsia"/>
          <w:b/>
          <w:color w:val="323E32"/>
          <w:spacing w:val="12"/>
          <w:sz w:val="28"/>
          <w:szCs w:val="28"/>
        </w:rPr>
        <w:t xml:space="preserve">　　杜邦中国集团有限公司（以下简称杜邦公司），为吸引和留住人才，建立员工内部补充养老制度。2001年至2010年4月，杜邦公司每月按一定金额、比例为员工缴存一笔款项作为补充养老金（员工</w:t>
      </w:r>
      <w:proofErr w:type="gramStart"/>
      <w:r>
        <w:rPr>
          <w:rFonts w:ascii="微软雅黑" w:eastAsia="微软雅黑" w:hAnsi="微软雅黑" w:hint="eastAsia"/>
          <w:b/>
          <w:color w:val="323E32"/>
          <w:spacing w:val="12"/>
          <w:sz w:val="28"/>
          <w:szCs w:val="28"/>
        </w:rPr>
        <w:t>不</w:t>
      </w:r>
      <w:proofErr w:type="gramEnd"/>
      <w:r>
        <w:rPr>
          <w:rFonts w:ascii="微软雅黑" w:eastAsia="微软雅黑" w:hAnsi="微软雅黑" w:hint="eastAsia"/>
          <w:b/>
          <w:color w:val="323E32"/>
          <w:spacing w:val="12"/>
          <w:sz w:val="28"/>
          <w:szCs w:val="28"/>
        </w:rPr>
        <w:t>缴费，未设立员工个人账户），采取“统一记账、统一缴存”管理模式。员工离职或退休前不得支取或动用，待员工满一定工作年限后离职或退休时，按工作年限计算归属于个人的补充养老金。最近，按《企业年金试行办法》（劳动和社会保障部令第20号）规定，杜邦公司</w:t>
      </w:r>
      <w:proofErr w:type="gramStart"/>
      <w:r>
        <w:rPr>
          <w:rFonts w:ascii="微软雅黑" w:eastAsia="微软雅黑" w:hAnsi="微软雅黑" w:hint="eastAsia"/>
          <w:b/>
          <w:color w:val="323E32"/>
          <w:spacing w:val="12"/>
          <w:sz w:val="28"/>
          <w:szCs w:val="28"/>
        </w:rPr>
        <w:t>拟规范</w:t>
      </w:r>
      <w:proofErr w:type="gramEnd"/>
      <w:r>
        <w:rPr>
          <w:rFonts w:ascii="微软雅黑" w:eastAsia="微软雅黑" w:hAnsi="微软雅黑" w:hint="eastAsia"/>
          <w:b/>
          <w:color w:val="323E32"/>
          <w:spacing w:val="12"/>
          <w:sz w:val="28"/>
          <w:szCs w:val="28"/>
        </w:rPr>
        <w:t>补充养老金运作，将杜邦公司2001年至2010年4月累计账户上的补充养老金一次性划转到员工个人账户。</w:t>
      </w:r>
    </w:p>
    <w:p w:rsidR="00F75223" w:rsidRDefault="00F75223" w:rsidP="00F75223">
      <w:pPr>
        <w:pStyle w:val="a3"/>
        <w:spacing w:line="360" w:lineRule="auto"/>
        <w:rPr>
          <w:rFonts w:ascii="simsun" w:hAnsi="simsun"/>
          <w:color w:val="323E32"/>
          <w:sz w:val="21"/>
          <w:szCs w:val="21"/>
        </w:rPr>
      </w:pPr>
      <w:r>
        <w:rPr>
          <w:rFonts w:ascii="微软雅黑" w:eastAsia="微软雅黑" w:hAnsi="微软雅黑" w:hint="eastAsia"/>
          <w:b/>
          <w:color w:val="323E32"/>
          <w:spacing w:val="12"/>
          <w:sz w:val="28"/>
          <w:szCs w:val="28"/>
        </w:rPr>
        <w:lastRenderedPageBreak/>
        <w:t xml:space="preserve">　　鉴于杜邦公司此前统一缴存补充养老金属于员工多年累积收入，时间跨度长，数额较大，其运作方式相似于企业年金，为公平税负，对杜邦公司账户上的补充养老金一次性划转到员工个人账户的所得，可以比照《国家税务总局关于企业年金个人所得税有关问题补充规定的公告》（国家税务总局公告2011年第9号）第二条规定计算补缴个人所得税。</w:t>
      </w:r>
    </w:p>
    <w:p w:rsidR="00F75223" w:rsidRDefault="00F75223" w:rsidP="00F75223">
      <w:pPr>
        <w:pStyle w:val="a3"/>
        <w:spacing w:line="360" w:lineRule="auto"/>
        <w:rPr>
          <w:rFonts w:ascii="simsun" w:hAnsi="simsun"/>
          <w:color w:val="323E32"/>
          <w:sz w:val="21"/>
          <w:szCs w:val="21"/>
        </w:rPr>
      </w:pPr>
      <w:r>
        <w:rPr>
          <w:rFonts w:ascii="微软雅黑" w:eastAsia="微软雅黑" w:hAnsi="微软雅黑" w:hint="eastAsia"/>
          <w:b/>
          <w:color w:val="323E32"/>
          <w:spacing w:val="12"/>
          <w:sz w:val="28"/>
          <w:szCs w:val="28"/>
        </w:rPr>
        <w:t xml:space="preserve">　　　　　　　　　　　　　　　　　　　　　国家税务总局</w:t>
      </w:r>
    </w:p>
    <w:p w:rsidR="00F75223" w:rsidRDefault="00F75223" w:rsidP="00F75223">
      <w:pPr>
        <w:pStyle w:val="a3"/>
        <w:spacing w:line="360" w:lineRule="auto"/>
        <w:rPr>
          <w:rFonts w:ascii="simsun" w:hAnsi="simsun"/>
          <w:color w:val="323E32"/>
          <w:sz w:val="21"/>
          <w:szCs w:val="21"/>
        </w:rPr>
      </w:pPr>
      <w:r>
        <w:rPr>
          <w:rFonts w:ascii="微软雅黑" w:eastAsia="微软雅黑" w:hAnsi="微软雅黑" w:hint="eastAsia"/>
          <w:b/>
          <w:color w:val="323E32"/>
          <w:spacing w:val="12"/>
          <w:sz w:val="28"/>
          <w:szCs w:val="28"/>
        </w:rPr>
        <w:t xml:space="preserve">                                   2013年1月14日</w:t>
      </w:r>
    </w:p>
    <w:p w:rsidR="00F75223" w:rsidRDefault="00F75223" w:rsidP="00F75223">
      <w:pPr>
        <w:pStyle w:val="a3"/>
        <w:spacing w:line="360" w:lineRule="auto"/>
        <w:rPr>
          <w:rFonts w:ascii="simsun" w:hAnsi="simsun"/>
          <w:color w:val="323E32"/>
          <w:sz w:val="21"/>
          <w:szCs w:val="21"/>
        </w:rPr>
      </w:pPr>
      <w:r>
        <w:rPr>
          <w:rFonts w:ascii="微软雅黑" w:eastAsia="微软雅黑" w:hAnsi="微软雅黑" w:hint="eastAsia"/>
          <w:b/>
          <w:color w:val="323E32"/>
          <w:spacing w:val="12"/>
          <w:sz w:val="28"/>
          <w:szCs w:val="28"/>
        </w:rPr>
        <w:t>抄送：北京、吉林、上海、江苏、广东省（市）地方税务局。</w:t>
      </w:r>
    </w:p>
    <w:p w:rsidR="00F75223" w:rsidRDefault="00F75223" w:rsidP="00F75223">
      <w:pPr>
        <w:pStyle w:val="a3"/>
        <w:spacing w:line="360" w:lineRule="auto"/>
        <w:rPr>
          <w:rFonts w:ascii="simsun" w:hAnsi="simsun"/>
          <w:color w:val="323E32"/>
          <w:sz w:val="21"/>
          <w:szCs w:val="21"/>
        </w:rPr>
      </w:pPr>
      <w:r>
        <w:rPr>
          <w:rFonts w:ascii="微软雅黑" w:eastAsia="微软雅黑" w:hAnsi="微软雅黑" w:hint="eastAsia"/>
          <w:b/>
          <w:color w:val="323E32"/>
          <w:spacing w:val="12"/>
          <w:sz w:val="28"/>
          <w:szCs w:val="28"/>
        </w:rPr>
        <w:t> </w:t>
      </w:r>
      <w:r>
        <w:rPr>
          <w:rFonts w:ascii="simsun" w:hAnsi="simsun"/>
          <w:color w:val="323E32"/>
          <w:sz w:val="21"/>
          <w:szCs w:val="21"/>
        </w:rPr>
        <w:t xml:space="preserve"> </w:t>
      </w:r>
    </w:p>
    <w:p w:rsidR="00F75223" w:rsidRDefault="00F75223" w:rsidP="00F75223">
      <w:pPr>
        <w:pStyle w:val="a3"/>
        <w:spacing w:line="360" w:lineRule="auto"/>
        <w:rPr>
          <w:rFonts w:ascii="simsun" w:hAnsi="simsun"/>
          <w:color w:val="323E32"/>
          <w:sz w:val="21"/>
          <w:szCs w:val="21"/>
        </w:rPr>
      </w:pPr>
      <w:r>
        <w:rPr>
          <w:rFonts w:hint="eastAsia"/>
          <w:color w:val="323E32"/>
          <w:spacing w:val="12"/>
        </w:rPr>
        <w:t> </w:t>
      </w:r>
    </w:p>
    <w:p w:rsidR="00701353" w:rsidRPr="00F75223" w:rsidRDefault="00701353">
      <w:pPr>
        <w:rPr>
          <w:rFonts w:hint="eastAsia"/>
        </w:rPr>
      </w:pPr>
    </w:p>
    <w:sectPr w:rsidR="00701353" w:rsidRPr="00F75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EA"/>
    <w:rsid w:val="00701353"/>
    <w:rsid w:val="008C37EA"/>
    <w:rsid w:val="00F7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22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2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68333">
      <w:bodyDiv w:val="1"/>
      <w:marLeft w:val="0"/>
      <w:marRight w:val="0"/>
      <w:marTop w:val="0"/>
      <w:marBottom w:val="0"/>
      <w:divBdr>
        <w:top w:val="none" w:sz="0" w:space="0" w:color="auto"/>
        <w:left w:val="none" w:sz="0" w:space="0" w:color="auto"/>
        <w:bottom w:val="none" w:sz="0" w:space="0" w:color="auto"/>
        <w:right w:val="none" w:sz="0" w:space="0" w:color="auto"/>
      </w:divBdr>
      <w:divsChild>
        <w:div w:id="1505779790">
          <w:marLeft w:val="0"/>
          <w:marRight w:val="0"/>
          <w:marTop w:val="0"/>
          <w:marBottom w:val="0"/>
          <w:divBdr>
            <w:top w:val="none" w:sz="0" w:space="0" w:color="auto"/>
            <w:left w:val="none" w:sz="0" w:space="0" w:color="auto"/>
            <w:bottom w:val="none" w:sz="0" w:space="0" w:color="auto"/>
            <w:right w:val="none" w:sz="0" w:space="0" w:color="auto"/>
          </w:divBdr>
          <w:divsChild>
            <w:div w:id="1369183115">
              <w:marLeft w:val="0"/>
              <w:marRight w:val="0"/>
              <w:marTop w:val="0"/>
              <w:marBottom w:val="0"/>
              <w:divBdr>
                <w:top w:val="none" w:sz="0" w:space="0" w:color="auto"/>
                <w:left w:val="none" w:sz="0" w:space="0" w:color="auto"/>
                <w:bottom w:val="none" w:sz="0" w:space="0" w:color="auto"/>
                <w:right w:val="none" w:sz="0" w:space="0" w:color="auto"/>
              </w:divBdr>
              <w:divsChild>
                <w:div w:id="517164133">
                  <w:marLeft w:val="0"/>
                  <w:marRight w:val="0"/>
                  <w:marTop w:val="0"/>
                  <w:marBottom w:val="0"/>
                  <w:divBdr>
                    <w:top w:val="none" w:sz="0" w:space="0" w:color="auto"/>
                    <w:left w:val="none" w:sz="0" w:space="0" w:color="auto"/>
                    <w:bottom w:val="none" w:sz="0" w:space="0" w:color="auto"/>
                    <w:right w:val="none" w:sz="0" w:space="0" w:color="auto"/>
                  </w:divBdr>
                  <w:divsChild>
                    <w:div w:id="1116831480">
                      <w:marLeft w:val="150"/>
                      <w:marRight w:val="0"/>
                      <w:marTop w:val="0"/>
                      <w:marBottom w:val="0"/>
                      <w:divBdr>
                        <w:top w:val="none" w:sz="0" w:space="0" w:color="auto"/>
                        <w:left w:val="none" w:sz="0" w:space="0" w:color="auto"/>
                        <w:bottom w:val="none" w:sz="0" w:space="0" w:color="auto"/>
                        <w:right w:val="none" w:sz="0" w:space="0" w:color="auto"/>
                      </w:divBdr>
                      <w:divsChild>
                        <w:div w:id="664360267">
                          <w:marLeft w:val="0"/>
                          <w:marRight w:val="0"/>
                          <w:marTop w:val="0"/>
                          <w:marBottom w:val="150"/>
                          <w:divBdr>
                            <w:top w:val="none" w:sz="0" w:space="0" w:color="auto"/>
                            <w:left w:val="none" w:sz="0" w:space="0" w:color="auto"/>
                            <w:bottom w:val="none" w:sz="0" w:space="0" w:color="auto"/>
                            <w:right w:val="none" w:sz="0" w:space="0" w:color="auto"/>
                          </w:divBdr>
                          <w:divsChild>
                            <w:div w:id="538054541">
                              <w:marLeft w:val="0"/>
                              <w:marRight w:val="0"/>
                              <w:marTop w:val="0"/>
                              <w:marBottom w:val="0"/>
                              <w:divBdr>
                                <w:top w:val="none" w:sz="0" w:space="0" w:color="auto"/>
                                <w:left w:val="none" w:sz="0" w:space="0" w:color="auto"/>
                                <w:bottom w:val="none" w:sz="0" w:space="0" w:color="auto"/>
                                <w:right w:val="none" w:sz="0" w:space="0" w:color="auto"/>
                              </w:divBdr>
                              <w:divsChild>
                                <w:div w:id="8651580">
                                  <w:marLeft w:val="0"/>
                                  <w:marRight w:val="0"/>
                                  <w:marTop w:val="0"/>
                                  <w:marBottom w:val="0"/>
                                  <w:divBdr>
                                    <w:top w:val="none" w:sz="0" w:space="0" w:color="auto"/>
                                    <w:left w:val="none" w:sz="0" w:space="0" w:color="auto"/>
                                    <w:bottom w:val="none" w:sz="0" w:space="0" w:color="auto"/>
                                    <w:right w:val="none" w:sz="0" w:space="0" w:color="auto"/>
                                  </w:divBdr>
                                  <w:divsChild>
                                    <w:div w:id="918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569</Characters>
  <Application>Microsoft Office Word</Application>
  <DocSecurity>0</DocSecurity>
  <Lines>4</Lines>
  <Paragraphs>1</Paragraphs>
  <ScaleCrop>false</ScaleCrop>
  <Company>微软中国</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2013-08-13T08:08:00Z</dcterms:created>
  <dcterms:modified xsi:type="dcterms:W3CDTF">2013-08-13T08:09:00Z</dcterms:modified>
</cp:coreProperties>
</file>