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03B" w:rsidRDefault="0037203B">
      <w:pPr>
        <w:rPr>
          <w:rFonts w:hint="eastAsia"/>
        </w:rPr>
      </w:pPr>
      <w:r w:rsidRPr="0037203B">
        <w:rPr>
          <w:rFonts w:ascii="宋体" w:eastAsia="宋体" w:hAnsi="宋体" w:cs="宋体"/>
          <w:b/>
          <w:bCs/>
          <w:color w:val="FF0000"/>
          <w:kern w:val="0"/>
          <w:sz w:val="24"/>
          <w:szCs w:val="24"/>
        </w:rPr>
        <w:t>财政部 国家税务总局</w:t>
      </w:r>
    </w:p>
    <w:p w:rsidR="0037203B" w:rsidRDefault="0037203B">
      <w:pPr>
        <w:rPr>
          <w:rFonts w:ascii="宋体" w:eastAsia="宋体" w:hAnsi="宋体" w:cs="宋体" w:hint="eastAsia"/>
          <w:color w:val="323E32"/>
          <w:kern w:val="0"/>
          <w:sz w:val="24"/>
          <w:szCs w:val="24"/>
        </w:rPr>
      </w:pPr>
      <w:r w:rsidRPr="0037203B">
        <w:rPr>
          <w:rFonts w:ascii="宋体" w:eastAsia="宋体" w:hAnsi="宋体" w:cs="宋体"/>
          <w:color w:val="323E32"/>
          <w:kern w:val="0"/>
          <w:sz w:val="24"/>
          <w:szCs w:val="24"/>
        </w:rPr>
        <w:t>关于证券机构技术和制度准备完成后个人转让上市公司限售股有关个人所得税问题的通知</w:t>
      </w:r>
    </w:p>
    <w:p w:rsidR="0037203B" w:rsidRDefault="0037203B">
      <w:pPr>
        <w:rPr>
          <w:rFonts w:ascii="宋体" w:eastAsia="宋体" w:hAnsi="宋体" w:cs="宋体" w:hint="eastAsia"/>
          <w:color w:val="323E32"/>
          <w:kern w:val="0"/>
          <w:sz w:val="24"/>
          <w:szCs w:val="24"/>
        </w:rPr>
      </w:pPr>
      <w:r w:rsidRPr="0037203B">
        <w:rPr>
          <w:rFonts w:ascii="宋体" w:eastAsia="宋体" w:hAnsi="宋体" w:cs="宋体"/>
          <w:color w:val="323E32"/>
          <w:kern w:val="0"/>
          <w:sz w:val="24"/>
          <w:szCs w:val="24"/>
        </w:rPr>
        <w:t>财税[2011]108号</w:t>
      </w:r>
    </w:p>
    <w:p w:rsidR="0037203B" w:rsidRPr="0037203B" w:rsidRDefault="0037203B" w:rsidP="0037203B">
      <w:pPr>
        <w:widowControl/>
        <w:spacing w:before="100" w:beforeAutospacing="1" w:after="100" w:afterAutospacing="1"/>
        <w:jc w:val="left"/>
        <w:rPr>
          <w:rFonts w:ascii="宋体" w:eastAsia="宋体" w:hAnsi="宋体" w:cs="宋体"/>
          <w:color w:val="323E32"/>
          <w:kern w:val="0"/>
          <w:sz w:val="24"/>
          <w:szCs w:val="24"/>
        </w:rPr>
      </w:pPr>
      <w:r w:rsidRPr="0037203B">
        <w:rPr>
          <w:rFonts w:ascii="宋体" w:eastAsia="宋体" w:hAnsi="宋体" w:cs="宋体"/>
          <w:color w:val="323E32"/>
          <w:kern w:val="0"/>
          <w:sz w:val="24"/>
          <w:szCs w:val="24"/>
        </w:rPr>
        <w:t>各省、自治区、直辖市、</w:t>
      </w:r>
      <w:bookmarkStart w:id="0" w:name="_GoBack"/>
      <w:bookmarkEnd w:id="0"/>
      <w:r w:rsidRPr="0037203B">
        <w:rPr>
          <w:rFonts w:ascii="宋体" w:eastAsia="宋体" w:hAnsi="宋体" w:cs="宋体"/>
          <w:color w:val="323E32"/>
          <w:kern w:val="0"/>
          <w:sz w:val="24"/>
          <w:szCs w:val="24"/>
        </w:rPr>
        <w:t>计划单列市财政厅（局）、地方税务局，宁夏、西藏、青海省（自治区）国家税务局，新疆生产建设兵团财务局，上海、深圳证券交易所，中国证券登记结算公司，各证券公司：</w:t>
      </w:r>
      <w:r w:rsidRPr="0037203B">
        <w:rPr>
          <w:rFonts w:ascii="宋体" w:eastAsia="宋体" w:hAnsi="宋体" w:cs="宋体"/>
          <w:color w:val="323E32"/>
          <w:kern w:val="0"/>
          <w:sz w:val="24"/>
          <w:szCs w:val="24"/>
        </w:rPr>
        <w:br/>
        <w:t xml:space="preserve">　　根据《财政部 国家税务总局证监会关于个人转让上市公司限售股所得征收个人所得税有关问题的通知》（财税[2009]167号）和《财政部 国家税务总局证监会关于个人转让上市公司限售股所得征收个人所得税有关问题的补充通知》（财税[2010]70号）有关规定，为进一步完善个人转让上市公司限售股所得征收个人所得税办法，现就有关问题通知如下：</w:t>
      </w:r>
      <w:r w:rsidRPr="0037203B">
        <w:rPr>
          <w:rFonts w:ascii="宋体" w:eastAsia="宋体" w:hAnsi="宋体" w:cs="宋体"/>
          <w:color w:val="323E32"/>
          <w:kern w:val="0"/>
          <w:sz w:val="24"/>
          <w:szCs w:val="24"/>
        </w:rPr>
        <w:br/>
        <w:t xml:space="preserve">　　一、自2012年3月1日起，网上发行资金申购日在2012年3月1日（含）之后的首次公开发行上市公司（以下简称新上市公司）按照证券登记结算公司业务规定做好各项资料准备工作，在向证券登记结算公司申请办理股份初始登记时一并申报由个人限售股股东提供的有关限售股成本原值详细资料，以及会计师事务所或税务师事务所对该资料出具的</w:t>
      </w:r>
      <w:proofErr w:type="gramStart"/>
      <w:r w:rsidRPr="0037203B">
        <w:rPr>
          <w:rFonts w:ascii="宋体" w:eastAsia="宋体" w:hAnsi="宋体" w:cs="宋体"/>
          <w:color w:val="323E32"/>
          <w:kern w:val="0"/>
          <w:sz w:val="24"/>
          <w:szCs w:val="24"/>
        </w:rPr>
        <w:t>鉴证</w:t>
      </w:r>
      <w:proofErr w:type="gramEnd"/>
      <w:r w:rsidRPr="0037203B">
        <w:rPr>
          <w:rFonts w:ascii="宋体" w:eastAsia="宋体" w:hAnsi="宋体" w:cs="宋体"/>
          <w:color w:val="323E32"/>
          <w:kern w:val="0"/>
          <w:sz w:val="24"/>
          <w:szCs w:val="24"/>
        </w:rPr>
        <w:t>报告。</w:t>
      </w:r>
      <w:r w:rsidRPr="0037203B">
        <w:rPr>
          <w:rFonts w:ascii="宋体" w:eastAsia="宋体" w:hAnsi="宋体" w:cs="宋体"/>
          <w:color w:val="323E32"/>
          <w:kern w:val="0"/>
          <w:sz w:val="24"/>
          <w:szCs w:val="24"/>
        </w:rPr>
        <w:br/>
        <w:t xml:space="preserve">　　限售股成本原值，是指限售股买入时的买入价及按照规定缴纳的有关税费。</w:t>
      </w:r>
      <w:r w:rsidRPr="0037203B">
        <w:rPr>
          <w:rFonts w:ascii="宋体" w:eastAsia="宋体" w:hAnsi="宋体" w:cs="宋体"/>
          <w:color w:val="323E32"/>
          <w:kern w:val="0"/>
          <w:sz w:val="24"/>
          <w:szCs w:val="24"/>
        </w:rPr>
        <w:br/>
        <w:t xml:space="preserve">　　二、新上市公司提供的成本原</w:t>
      </w:r>
      <w:proofErr w:type="gramStart"/>
      <w:r w:rsidRPr="0037203B">
        <w:rPr>
          <w:rFonts w:ascii="宋体" w:eastAsia="宋体" w:hAnsi="宋体" w:cs="宋体"/>
          <w:color w:val="323E32"/>
          <w:kern w:val="0"/>
          <w:sz w:val="24"/>
          <w:szCs w:val="24"/>
        </w:rPr>
        <w:t>值资料</w:t>
      </w:r>
      <w:proofErr w:type="gramEnd"/>
      <w:r w:rsidRPr="0037203B">
        <w:rPr>
          <w:rFonts w:ascii="宋体" w:eastAsia="宋体" w:hAnsi="宋体" w:cs="宋体"/>
          <w:color w:val="323E32"/>
          <w:kern w:val="0"/>
          <w:sz w:val="24"/>
          <w:szCs w:val="24"/>
        </w:rPr>
        <w:t>和</w:t>
      </w:r>
      <w:proofErr w:type="gramStart"/>
      <w:r w:rsidRPr="0037203B">
        <w:rPr>
          <w:rFonts w:ascii="宋体" w:eastAsia="宋体" w:hAnsi="宋体" w:cs="宋体"/>
          <w:color w:val="323E32"/>
          <w:kern w:val="0"/>
          <w:sz w:val="24"/>
          <w:szCs w:val="24"/>
        </w:rPr>
        <w:t>鉴证</w:t>
      </w:r>
      <w:proofErr w:type="gramEnd"/>
      <w:r w:rsidRPr="0037203B">
        <w:rPr>
          <w:rFonts w:ascii="宋体" w:eastAsia="宋体" w:hAnsi="宋体" w:cs="宋体"/>
          <w:color w:val="323E32"/>
          <w:kern w:val="0"/>
          <w:sz w:val="24"/>
          <w:szCs w:val="24"/>
        </w:rPr>
        <w:t>报告中应包括但不限于以下内容：证券持有人名称、有效身份证照号码、证券账户号码、新上市公司全称、持有新上市公司限售股数量、持有新上市公司限售股每股成本原值等。</w:t>
      </w:r>
      <w:r w:rsidRPr="0037203B">
        <w:rPr>
          <w:rFonts w:ascii="宋体" w:eastAsia="宋体" w:hAnsi="宋体" w:cs="宋体"/>
          <w:color w:val="323E32"/>
          <w:kern w:val="0"/>
          <w:sz w:val="24"/>
          <w:szCs w:val="24"/>
        </w:rPr>
        <w:br/>
        <w:t xml:space="preserve">　　新上市公司每位持有限售股的个人股东应仅申报一个成本原值。个人取得的限售股有不同成本的，应对所持限售股以每次取得股份数量为权重进行成本加权平均以计算出每股的成本原值，即：</w:t>
      </w:r>
      <w:r w:rsidRPr="0037203B">
        <w:rPr>
          <w:rFonts w:ascii="宋体" w:eastAsia="宋体" w:hAnsi="宋体" w:cs="宋体"/>
          <w:color w:val="323E32"/>
          <w:kern w:val="0"/>
          <w:sz w:val="24"/>
          <w:szCs w:val="24"/>
        </w:rPr>
        <w:br/>
        <w:t xml:space="preserve">　　分次取得限售股的加权平均成本＝（第一次取得限售股的每股成本原值×第一次取得限售股的股份数量+……+第n次取得限售股的每股成本原值×第n次取得限售股的股份数量）÷累计取得限售股的股份数量</w:t>
      </w:r>
      <w:r w:rsidRPr="0037203B">
        <w:rPr>
          <w:rFonts w:ascii="宋体" w:eastAsia="宋体" w:hAnsi="宋体" w:cs="宋体"/>
          <w:color w:val="323E32"/>
          <w:kern w:val="0"/>
          <w:sz w:val="24"/>
          <w:szCs w:val="24"/>
        </w:rPr>
        <w:br/>
        <w:t xml:space="preserve">　　三、证券登记结算公司收到新上市公司提供的相关资料后，应及时将有关成本原值数据植入证券结算系统。个人转让新上市公司限售股的，证券登记结算公司根据实际转让收入和植入证券结算系统的标的限售股成本原值，以实际转让收入减去成本原值和合理税费后的余额，适用20%税率，直接计算需扣缴的个人所得税额。</w:t>
      </w:r>
      <w:r w:rsidRPr="0037203B">
        <w:rPr>
          <w:rFonts w:ascii="宋体" w:eastAsia="宋体" w:hAnsi="宋体" w:cs="宋体"/>
          <w:color w:val="323E32"/>
          <w:kern w:val="0"/>
          <w:sz w:val="24"/>
          <w:szCs w:val="24"/>
        </w:rPr>
        <w:br/>
        <w:t xml:space="preserve">　　合理税费是指转让限售股过程中发生的印花税、佣金、过户费等与交易相关的税费。</w:t>
      </w:r>
      <w:r w:rsidRPr="0037203B">
        <w:rPr>
          <w:rFonts w:ascii="宋体" w:eastAsia="宋体" w:hAnsi="宋体" w:cs="宋体"/>
          <w:color w:val="323E32"/>
          <w:kern w:val="0"/>
          <w:sz w:val="24"/>
          <w:szCs w:val="24"/>
        </w:rPr>
        <w:br/>
        <w:t xml:space="preserve">　　四、新上市公司在申请办理股份初始登记时，确实无法提供有关成本原</w:t>
      </w:r>
      <w:proofErr w:type="gramStart"/>
      <w:r w:rsidRPr="0037203B">
        <w:rPr>
          <w:rFonts w:ascii="宋体" w:eastAsia="宋体" w:hAnsi="宋体" w:cs="宋体"/>
          <w:color w:val="323E32"/>
          <w:kern w:val="0"/>
          <w:sz w:val="24"/>
          <w:szCs w:val="24"/>
        </w:rPr>
        <w:t>值资料</w:t>
      </w:r>
      <w:proofErr w:type="gramEnd"/>
      <w:r w:rsidRPr="0037203B">
        <w:rPr>
          <w:rFonts w:ascii="宋体" w:eastAsia="宋体" w:hAnsi="宋体" w:cs="宋体"/>
          <w:color w:val="323E32"/>
          <w:kern w:val="0"/>
          <w:sz w:val="24"/>
          <w:szCs w:val="24"/>
        </w:rPr>
        <w:t>和</w:t>
      </w:r>
      <w:proofErr w:type="gramStart"/>
      <w:r w:rsidRPr="0037203B">
        <w:rPr>
          <w:rFonts w:ascii="宋体" w:eastAsia="宋体" w:hAnsi="宋体" w:cs="宋体"/>
          <w:color w:val="323E32"/>
          <w:kern w:val="0"/>
          <w:sz w:val="24"/>
          <w:szCs w:val="24"/>
        </w:rPr>
        <w:t>鉴证</w:t>
      </w:r>
      <w:proofErr w:type="gramEnd"/>
      <w:r w:rsidRPr="0037203B">
        <w:rPr>
          <w:rFonts w:ascii="宋体" w:eastAsia="宋体" w:hAnsi="宋体" w:cs="宋体"/>
          <w:color w:val="323E32"/>
          <w:kern w:val="0"/>
          <w:sz w:val="24"/>
          <w:szCs w:val="24"/>
        </w:rPr>
        <w:t>报告的，证券登记结算公司在完成股份初始登记后，将不再接受新上市公司申报有关成本原</w:t>
      </w:r>
      <w:proofErr w:type="gramStart"/>
      <w:r w:rsidRPr="0037203B">
        <w:rPr>
          <w:rFonts w:ascii="宋体" w:eastAsia="宋体" w:hAnsi="宋体" w:cs="宋体"/>
          <w:color w:val="323E32"/>
          <w:kern w:val="0"/>
          <w:sz w:val="24"/>
          <w:szCs w:val="24"/>
        </w:rPr>
        <w:t>值资料</w:t>
      </w:r>
      <w:proofErr w:type="gramEnd"/>
      <w:r w:rsidRPr="0037203B">
        <w:rPr>
          <w:rFonts w:ascii="宋体" w:eastAsia="宋体" w:hAnsi="宋体" w:cs="宋体"/>
          <w:color w:val="323E32"/>
          <w:kern w:val="0"/>
          <w:sz w:val="24"/>
          <w:szCs w:val="24"/>
        </w:rPr>
        <w:t>和</w:t>
      </w:r>
      <w:proofErr w:type="gramStart"/>
      <w:r w:rsidRPr="0037203B">
        <w:rPr>
          <w:rFonts w:ascii="宋体" w:eastAsia="宋体" w:hAnsi="宋体" w:cs="宋体"/>
          <w:color w:val="323E32"/>
          <w:kern w:val="0"/>
          <w:sz w:val="24"/>
          <w:szCs w:val="24"/>
        </w:rPr>
        <w:t>鉴证</w:t>
      </w:r>
      <w:proofErr w:type="gramEnd"/>
      <w:r w:rsidRPr="0037203B">
        <w:rPr>
          <w:rFonts w:ascii="宋体" w:eastAsia="宋体" w:hAnsi="宋体" w:cs="宋体"/>
          <w:color w:val="323E32"/>
          <w:kern w:val="0"/>
          <w:sz w:val="24"/>
          <w:szCs w:val="24"/>
        </w:rPr>
        <w:t>报告，并按规定以实际转让收入的15%核定限售股成本原值和合理税费。</w:t>
      </w:r>
      <w:r w:rsidRPr="0037203B">
        <w:rPr>
          <w:rFonts w:ascii="宋体" w:eastAsia="宋体" w:hAnsi="宋体" w:cs="宋体"/>
          <w:color w:val="323E32"/>
          <w:kern w:val="0"/>
          <w:sz w:val="24"/>
          <w:szCs w:val="24"/>
        </w:rPr>
        <w:br/>
        <w:t xml:space="preserve">　　五、个人在证券登记结算公司以</w:t>
      </w:r>
      <w:proofErr w:type="gramStart"/>
      <w:r w:rsidRPr="0037203B">
        <w:rPr>
          <w:rFonts w:ascii="宋体" w:eastAsia="宋体" w:hAnsi="宋体" w:cs="宋体"/>
          <w:color w:val="323E32"/>
          <w:kern w:val="0"/>
          <w:sz w:val="24"/>
          <w:szCs w:val="24"/>
        </w:rPr>
        <w:t>非交易</w:t>
      </w:r>
      <w:proofErr w:type="gramEnd"/>
      <w:r w:rsidRPr="0037203B">
        <w:rPr>
          <w:rFonts w:ascii="宋体" w:eastAsia="宋体" w:hAnsi="宋体" w:cs="宋体"/>
          <w:color w:val="323E32"/>
          <w:kern w:val="0"/>
          <w:sz w:val="24"/>
          <w:szCs w:val="24"/>
        </w:rPr>
        <w:t>过户方式办理应纳税未解禁限售股过户登记的，受让方所取得限售股的成本原</w:t>
      </w:r>
      <w:proofErr w:type="gramStart"/>
      <w:r w:rsidRPr="0037203B">
        <w:rPr>
          <w:rFonts w:ascii="宋体" w:eastAsia="宋体" w:hAnsi="宋体" w:cs="宋体"/>
          <w:color w:val="323E32"/>
          <w:kern w:val="0"/>
          <w:sz w:val="24"/>
          <w:szCs w:val="24"/>
        </w:rPr>
        <w:t>值按照</w:t>
      </w:r>
      <w:proofErr w:type="gramEnd"/>
      <w:r w:rsidRPr="0037203B">
        <w:rPr>
          <w:rFonts w:ascii="宋体" w:eastAsia="宋体" w:hAnsi="宋体" w:cs="宋体"/>
          <w:color w:val="323E32"/>
          <w:kern w:val="0"/>
          <w:sz w:val="24"/>
          <w:szCs w:val="24"/>
        </w:rPr>
        <w:t>转让方完税凭证、《限售股转让所得个人所得税清算申报表》等材料确定的转让价格进行确定；如转让方证券账户为机构账户，在受让方再次转让该限售股时，以受让方实际转让收入的15%核定其转让限售股的成本原值和合理税费。</w:t>
      </w:r>
      <w:r w:rsidRPr="0037203B">
        <w:rPr>
          <w:rFonts w:ascii="宋体" w:eastAsia="宋体" w:hAnsi="宋体" w:cs="宋体"/>
          <w:color w:val="323E32"/>
          <w:kern w:val="0"/>
          <w:sz w:val="24"/>
          <w:szCs w:val="24"/>
        </w:rPr>
        <w:br/>
      </w:r>
      <w:r w:rsidRPr="0037203B">
        <w:rPr>
          <w:rFonts w:ascii="宋体" w:eastAsia="宋体" w:hAnsi="宋体" w:cs="宋体"/>
          <w:color w:val="323E32"/>
          <w:kern w:val="0"/>
          <w:sz w:val="24"/>
          <w:szCs w:val="24"/>
        </w:rPr>
        <w:lastRenderedPageBreak/>
        <w:t xml:space="preserve">　　六、对采取自行纳税申报方式的纳税人，其个人转让限售股不需要纳税或应纳税额为零的，纳税人应持经主管税务机关审核确认并加盖受理印章的《限售股转让所得个人所得税清算申报表》原件，到证券登记结算公司办理限售股过户手续。未提供原件的，证券登记结算公司不予办理过户手续。</w:t>
      </w:r>
      <w:r w:rsidRPr="0037203B">
        <w:rPr>
          <w:rFonts w:ascii="宋体" w:eastAsia="宋体" w:hAnsi="宋体" w:cs="宋体"/>
          <w:color w:val="323E32"/>
          <w:kern w:val="0"/>
          <w:sz w:val="24"/>
          <w:szCs w:val="24"/>
        </w:rPr>
        <w:br/>
        <w:t xml:space="preserve">　　七、对于个人持有的新上市公司未解禁限售股被司法扣划至其他个人证券账户，如国家有权机关要求强制执行但未能提供完税凭证等材料，证券登记结算公司在履行告知义务后予以协助执行，并在受让方转让该限售股时，以其实际转让收入的15%核定其转让限售股的成本原值和合理税费。</w:t>
      </w:r>
      <w:r w:rsidRPr="0037203B">
        <w:rPr>
          <w:rFonts w:ascii="宋体" w:eastAsia="宋体" w:hAnsi="宋体" w:cs="宋体"/>
          <w:color w:val="323E32"/>
          <w:kern w:val="0"/>
          <w:sz w:val="24"/>
          <w:szCs w:val="24"/>
        </w:rPr>
        <w:br/>
        <w:t>八、证券公司应将每月所扣个人所得税款，于次月15日内缴入国库，并向当地主管税务机关报送《限售股转让所得扣缴个人所得税报告表》及税务机关要求报送的其他资料。</w:t>
      </w:r>
      <w:r w:rsidRPr="0037203B">
        <w:rPr>
          <w:rFonts w:ascii="宋体" w:eastAsia="宋体" w:hAnsi="宋体" w:cs="宋体"/>
          <w:color w:val="323E32"/>
          <w:kern w:val="0"/>
          <w:sz w:val="24"/>
          <w:szCs w:val="24"/>
        </w:rPr>
        <w:br/>
        <w:t xml:space="preserve">　　九、对个人转让新上市公司限售股，按财税[2010]70号文件规定，需纳税人自行申报纳税的，继续按照原规定以及本通知第六、七条的相关规定执行。</w:t>
      </w:r>
      <w:r w:rsidRPr="0037203B">
        <w:rPr>
          <w:rFonts w:ascii="宋体" w:eastAsia="宋体" w:hAnsi="宋体" w:cs="宋体"/>
          <w:color w:val="323E32"/>
          <w:kern w:val="0"/>
          <w:sz w:val="24"/>
          <w:szCs w:val="24"/>
        </w:rPr>
        <w:br/>
        <w:t xml:space="preserve">　　请遵照执行。</w:t>
      </w:r>
    </w:p>
    <w:p w:rsidR="0037203B" w:rsidRDefault="0037203B" w:rsidP="0037203B">
      <w:pPr>
        <w:rPr>
          <w:rFonts w:ascii="宋体" w:eastAsia="宋体" w:hAnsi="宋体" w:cs="宋体" w:hint="eastAsia"/>
          <w:color w:val="323E32"/>
          <w:kern w:val="0"/>
          <w:sz w:val="24"/>
          <w:szCs w:val="24"/>
        </w:rPr>
      </w:pPr>
      <w:r w:rsidRPr="0037203B">
        <w:rPr>
          <w:rFonts w:ascii="宋体" w:eastAsia="宋体" w:hAnsi="宋体" w:cs="宋体"/>
          <w:color w:val="323E32"/>
          <w:kern w:val="0"/>
          <w:sz w:val="24"/>
          <w:szCs w:val="24"/>
        </w:rPr>
        <w:br/>
        <w:t xml:space="preserve">　　财政部 国家税务总局</w:t>
      </w:r>
      <w:r w:rsidRPr="0037203B">
        <w:rPr>
          <w:rFonts w:ascii="宋体" w:eastAsia="宋体" w:hAnsi="宋体" w:cs="宋体"/>
          <w:color w:val="323E32"/>
          <w:kern w:val="0"/>
          <w:sz w:val="24"/>
          <w:szCs w:val="24"/>
        </w:rPr>
        <w:br/>
        <w:t xml:space="preserve">　　二○一一年十二月三十日</w:t>
      </w:r>
    </w:p>
    <w:p w:rsidR="0037203B" w:rsidRDefault="0037203B">
      <w:pPr>
        <w:rPr>
          <w:rFonts w:hint="eastAsia"/>
        </w:rPr>
      </w:pPr>
    </w:p>
    <w:sectPr w:rsidR="003720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6BA"/>
    <w:rsid w:val="001026BA"/>
    <w:rsid w:val="0037203B"/>
    <w:rsid w:val="00B218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7203B"/>
    <w:rPr>
      <w:strike w:val="0"/>
      <w:dstrike w:val="0"/>
      <w:color w:val="0051A8"/>
      <w:u w:val="none"/>
      <w:effect w:val="none"/>
    </w:rPr>
  </w:style>
  <w:style w:type="paragraph" w:styleId="a4">
    <w:name w:val="Normal (Web)"/>
    <w:basedOn w:val="a"/>
    <w:uiPriority w:val="99"/>
    <w:unhideWhenUsed/>
    <w:rsid w:val="0037203B"/>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7203B"/>
    <w:rPr>
      <w:strike w:val="0"/>
      <w:dstrike w:val="0"/>
      <w:color w:val="0051A8"/>
      <w:u w:val="none"/>
      <w:effect w:val="none"/>
    </w:rPr>
  </w:style>
  <w:style w:type="paragraph" w:styleId="a4">
    <w:name w:val="Normal (Web)"/>
    <w:basedOn w:val="a"/>
    <w:uiPriority w:val="99"/>
    <w:unhideWhenUsed/>
    <w:rsid w:val="0037203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463909">
      <w:bodyDiv w:val="1"/>
      <w:marLeft w:val="0"/>
      <w:marRight w:val="0"/>
      <w:marTop w:val="0"/>
      <w:marBottom w:val="0"/>
      <w:divBdr>
        <w:top w:val="none" w:sz="0" w:space="0" w:color="auto"/>
        <w:left w:val="none" w:sz="0" w:space="0" w:color="auto"/>
        <w:bottom w:val="none" w:sz="0" w:space="0" w:color="auto"/>
        <w:right w:val="none" w:sz="0" w:space="0" w:color="auto"/>
      </w:divBdr>
      <w:divsChild>
        <w:div w:id="294802266">
          <w:marLeft w:val="0"/>
          <w:marRight w:val="0"/>
          <w:marTop w:val="0"/>
          <w:marBottom w:val="0"/>
          <w:divBdr>
            <w:top w:val="none" w:sz="0" w:space="0" w:color="auto"/>
            <w:left w:val="none" w:sz="0" w:space="0" w:color="auto"/>
            <w:bottom w:val="none" w:sz="0" w:space="0" w:color="auto"/>
            <w:right w:val="none" w:sz="0" w:space="0" w:color="auto"/>
          </w:divBdr>
          <w:divsChild>
            <w:div w:id="1595475699">
              <w:marLeft w:val="0"/>
              <w:marRight w:val="0"/>
              <w:marTop w:val="0"/>
              <w:marBottom w:val="0"/>
              <w:divBdr>
                <w:top w:val="none" w:sz="0" w:space="0" w:color="auto"/>
                <w:left w:val="none" w:sz="0" w:space="0" w:color="auto"/>
                <w:bottom w:val="none" w:sz="0" w:space="0" w:color="auto"/>
                <w:right w:val="none" w:sz="0" w:space="0" w:color="auto"/>
              </w:divBdr>
              <w:divsChild>
                <w:div w:id="382560472">
                  <w:marLeft w:val="0"/>
                  <w:marRight w:val="0"/>
                  <w:marTop w:val="0"/>
                  <w:marBottom w:val="0"/>
                  <w:divBdr>
                    <w:top w:val="none" w:sz="0" w:space="0" w:color="auto"/>
                    <w:left w:val="none" w:sz="0" w:space="0" w:color="auto"/>
                    <w:bottom w:val="none" w:sz="0" w:space="0" w:color="auto"/>
                    <w:right w:val="none" w:sz="0" w:space="0" w:color="auto"/>
                  </w:divBdr>
                  <w:divsChild>
                    <w:div w:id="1170830415">
                      <w:marLeft w:val="150"/>
                      <w:marRight w:val="0"/>
                      <w:marTop w:val="0"/>
                      <w:marBottom w:val="0"/>
                      <w:divBdr>
                        <w:top w:val="none" w:sz="0" w:space="0" w:color="auto"/>
                        <w:left w:val="none" w:sz="0" w:space="0" w:color="auto"/>
                        <w:bottom w:val="none" w:sz="0" w:space="0" w:color="auto"/>
                        <w:right w:val="none" w:sz="0" w:space="0" w:color="auto"/>
                      </w:divBdr>
                      <w:divsChild>
                        <w:div w:id="1056704784">
                          <w:marLeft w:val="0"/>
                          <w:marRight w:val="0"/>
                          <w:marTop w:val="0"/>
                          <w:marBottom w:val="150"/>
                          <w:divBdr>
                            <w:top w:val="none" w:sz="0" w:space="0" w:color="auto"/>
                            <w:left w:val="none" w:sz="0" w:space="0" w:color="auto"/>
                            <w:bottom w:val="none" w:sz="0" w:space="0" w:color="auto"/>
                            <w:right w:val="none" w:sz="0" w:space="0" w:color="auto"/>
                          </w:divBdr>
                          <w:divsChild>
                            <w:div w:id="152524871">
                              <w:marLeft w:val="0"/>
                              <w:marRight w:val="0"/>
                              <w:marTop w:val="0"/>
                              <w:marBottom w:val="0"/>
                              <w:divBdr>
                                <w:top w:val="none" w:sz="0" w:space="0" w:color="auto"/>
                                <w:left w:val="none" w:sz="0" w:space="0" w:color="auto"/>
                                <w:bottom w:val="none" w:sz="0" w:space="0" w:color="auto"/>
                                <w:right w:val="none" w:sz="0" w:space="0" w:color="auto"/>
                              </w:divBdr>
                              <w:divsChild>
                                <w:div w:id="1501964001">
                                  <w:marLeft w:val="0"/>
                                  <w:marRight w:val="0"/>
                                  <w:marTop w:val="0"/>
                                  <w:marBottom w:val="0"/>
                                  <w:divBdr>
                                    <w:top w:val="none" w:sz="0" w:space="0" w:color="auto"/>
                                    <w:left w:val="none" w:sz="0" w:space="0" w:color="auto"/>
                                    <w:bottom w:val="none" w:sz="0" w:space="0" w:color="auto"/>
                                    <w:right w:val="none" w:sz="0" w:space="0" w:color="auto"/>
                                  </w:divBdr>
                                  <w:divsChild>
                                    <w:div w:id="26214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4835577">
      <w:bodyDiv w:val="1"/>
      <w:marLeft w:val="0"/>
      <w:marRight w:val="0"/>
      <w:marTop w:val="0"/>
      <w:marBottom w:val="0"/>
      <w:divBdr>
        <w:top w:val="none" w:sz="0" w:space="0" w:color="auto"/>
        <w:left w:val="none" w:sz="0" w:space="0" w:color="auto"/>
        <w:bottom w:val="none" w:sz="0" w:space="0" w:color="auto"/>
        <w:right w:val="none" w:sz="0" w:space="0" w:color="auto"/>
      </w:divBdr>
      <w:divsChild>
        <w:div w:id="216204037">
          <w:marLeft w:val="0"/>
          <w:marRight w:val="0"/>
          <w:marTop w:val="0"/>
          <w:marBottom w:val="0"/>
          <w:divBdr>
            <w:top w:val="none" w:sz="0" w:space="0" w:color="auto"/>
            <w:left w:val="none" w:sz="0" w:space="0" w:color="auto"/>
            <w:bottom w:val="none" w:sz="0" w:space="0" w:color="auto"/>
            <w:right w:val="none" w:sz="0" w:space="0" w:color="auto"/>
          </w:divBdr>
          <w:divsChild>
            <w:div w:id="1219167232">
              <w:marLeft w:val="0"/>
              <w:marRight w:val="0"/>
              <w:marTop w:val="0"/>
              <w:marBottom w:val="0"/>
              <w:divBdr>
                <w:top w:val="none" w:sz="0" w:space="0" w:color="auto"/>
                <w:left w:val="none" w:sz="0" w:space="0" w:color="auto"/>
                <w:bottom w:val="none" w:sz="0" w:space="0" w:color="auto"/>
                <w:right w:val="none" w:sz="0" w:space="0" w:color="auto"/>
              </w:divBdr>
              <w:divsChild>
                <w:div w:id="775321223">
                  <w:marLeft w:val="0"/>
                  <w:marRight w:val="0"/>
                  <w:marTop w:val="0"/>
                  <w:marBottom w:val="0"/>
                  <w:divBdr>
                    <w:top w:val="none" w:sz="0" w:space="0" w:color="auto"/>
                    <w:left w:val="none" w:sz="0" w:space="0" w:color="auto"/>
                    <w:bottom w:val="none" w:sz="0" w:space="0" w:color="auto"/>
                    <w:right w:val="none" w:sz="0" w:space="0" w:color="auto"/>
                  </w:divBdr>
                  <w:divsChild>
                    <w:div w:id="1493908682">
                      <w:marLeft w:val="150"/>
                      <w:marRight w:val="0"/>
                      <w:marTop w:val="0"/>
                      <w:marBottom w:val="0"/>
                      <w:divBdr>
                        <w:top w:val="none" w:sz="0" w:space="0" w:color="auto"/>
                        <w:left w:val="none" w:sz="0" w:space="0" w:color="auto"/>
                        <w:bottom w:val="none" w:sz="0" w:space="0" w:color="auto"/>
                        <w:right w:val="none" w:sz="0" w:space="0" w:color="auto"/>
                      </w:divBdr>
                      <w:divsChild>
                        <w:div w:id="980694586">
                          <w:marLeft w:val="0"/>
                          <w:marRight w:val="0"/>
                          <w:marTop w:val="0"/>
                          <w:marBottom w:val="150"/>
                          <w:divBdr>
                            <w:top w:val="none" w:sz="0" w:space="0" w:color="auto"/>
                            <w:left w:val="none" w:sz="0" w:space="0" w:color="auto"/>
                            <w:bottom w:val="none" w:sz="0" w:space="0" w:color="auto"/>
                            <w:right w:val="none" w:sz="0" w:space="0" w:color="auto"/>
                          </w:divBdr>
                          <w:divsChild>
                            <w:div w:id="1409577196">
                              <w:marLeft w:val="0"/>
                              <w:marRight w:val="0"/>
                              <w:marTop w:val="0"/>
                              <w:marBottom w:val="0"/>
                              <w:divBdr>
                                <w:top w:val="none" w:sz="0" w:space="0" w:color="auto"/>
                                <w:left w:val="none" w:sz="0" w:space="0" w:color="auto"/>
                                <w:bottom w:val="none" w:sz="0" w:space="0" w:color="auto"/>
                                <w:right w:val="none" w:sz="0" w:space="0" w:color="auto"/>
                              </w:divBdr>
                              <w:divsChild>
                                <w:div w:id="1281260391">
                                  <w:marLeft w:val="0"/>
                                  <w:marRight w:val="0"/>
                                  <w:marTop w:val="0"/>
                                  <w:marBottom w:val="0"/>
                                  <w:divBdr>
                                    <w:top w:val="none" w:sz="0" w:space="0" w:color="auto"/>
                                    <w:left w:val="none" w:sz="0" w:space="0" w:color="auto"/>
                                    <w:bottom w:val="none" w:sz="0" w:space="0" w:color="auto"/>
                                    <w:right w:val="none" w:sz="0" w:space="0" w:color="auto"/>
                                  </w:divBdr>
                                  <w:divsChild>
                                    <w:div w:id="143910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257</Words>
  <Characters>1465</Characters>
  <Application>Microsoft Office Word</Application>
  <DocSecurity>0</DocSecurity>
  <Lines>12</Lines>
  <Paragraphs>3</Paragraphs>
  <ScaleCrop>false</ScaleCrop>
  <Company>微软中国</Company>
  <LinksUpToDate>false</LinksUpToDate>
  <CharactersWithSpaces>1719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2013-08-15T08:44:00Z</dcterms:created>
  <dcterms:modified xsi:type="dcterms:W3CDTF">2013-08-15T08:47:00Z</dcterms:modified>
</cp:coreProperties>
</file>