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843C4A" w:rsidRPr="00843C4A" w:rsidTr="00843C4A">
        <w:trPr>
          <w:tblCellSpacing w:w="0" w:type="dxa"/>
          <w:jc w:val="center"/>
        </w:trPr>
        <w:tc>
          <w:tcPr>
            <w:tcW w:w="0" w:type="auto"/>
            <w:vAlign w:val="center"/>
            <w:hideMark/>
          </w:tcPr>
          <w:p w:rsidR="00843C4A" w:rsidRPr="00843C4A" w:rsidRDefault="00843C4A" w:rsidP="00843C4A">
            <w:pPr>
              <w:widowControl/>
              <w:spacing w:line="300" w:lineRule="atLeast"/>
              <w:jc w:val="center"/>
              <w:rPr>
                <w:rFonts w:ascii="ˎ̥" w:eastAsia="宋体" w:hAnsi="ˎ̥" w:cs="宋体"/>
                <w:b/>
                <w:bCs/>
                <w:color w:val="454545"/>
                <w:kern w:val="0"/>
                <w:sz w:val="24"/>
                <w:szCs w:val="24"/>
              </w:rPr>
            </w:pPr>
            <w:r w:rsidRPr="00843C4A">
              <w:rPr>
                <w:rFonts w:ascii="ˎ̥" w:eastAsia="宋体" w:hAnsi="ˎ̥" w:cs="宋体"/>
                <w:b/>
                <w:bCs/>
                <w:color w:val="454545"/>
                <w:kern w:val="0"/>
                <w:sz w:val="27"/>
                <w:szCs w:val="27"/>
              </w:rPr>
              <w:t>财政部</w:t>
            </w:r>
            <w:r w:rsidRPr="00843C4A">
              <w:rPr>
                <w:rFonts w:ascii="ˎ̥" w:eastAsia="宋体" w:hAnsi="ˎ̥" w:cs="宋体"/>
                <w:b/>
                <w:bCs/>
                <w:color w:val="454545"/>
                <w:kern w:val="0"/>
                <w:sz w:val="27"/>
                <w:szCs w:val="27"/>
              </w:rPr>
              <w:t xml:space="preserve"> </w:t>
            </w:r>
            <w:r w:rsidRPr="00843C4A">
              <w:rPr>
                <w:rFonts w:ascii="ˎ̥" w:eastAsia="宋体" w:hAnsi="ˎ̥" w:cs="宋体"/>
                <w:b/>
                <w:bCs/>
                <w:color w:val="454545"/>
                <w:kern w:val="0"/>
                <w:sz w:val="27"/>
                <w:szCs w:val="27"/>
              </w:rPr>
              <w:t>国家税务总局关于土地增值税一些具体问题规定的通知</w:t>
            </w:r>
            <w:r w:rsidRPr="00843C4A">
              <w:rPr>
                <w:rFonts w:ascii="ˎ̥" w:eastAsia="宋体" w:hAnsi="ˎ̥" w:cs="宋体"/>
                <w:b/>
                <w:bCs/>
                <w:color w:val="454545"/>
                <w:kern w:val="0"/>
                <w:sz w:val="27"/>
                <w:szCs w:val="27"/>
              </w:rPr>
              <w:t xml:space="preserve"> </w:t>
            </w:r>
          </w:p>
        </w:tc>
      </w:tr>
      <w:tr w:rsidR="00843C4A" w:rsidRPr="00843C4A" w:rsidTr="00843C4A">
        <w:trPr>
          <w:trHeight w:val="240"/>
          <w:tblCellSpacing w:w="0" w:type="dxa"/>
          <w:jc w:val="center"/>
        </w:trPr>
        <w:tc>
          <w:tcPr>
            <w:tcW w:w="0" w:type="auto"/>
            <w:vAlign w:val="center"/>
            <w:hideMark/>
          </w:tcPr>
          <w:p w:rsidR="00843C4A" w:rsidRPr="00843C4A" w:rsidRDefault="00843C4A" w:rsidP="00843C4A">
            <w:pPr>
              <w:widowControl/>
              <w:spacing w:line="300" w:lineRule="atLeast"/>
              <w:jc w:val="left"/>
              <w:rPr>
                <w:rFonts w:ascii="ˎ̥" w:eastAsia="宋体" w:hAnsi="ˎ̥" w:cs="宋体"/>
                <w:b/>
                <w:bCs/>
                <w:color w:val="454545"/>
                <w:kern w:val="0"/>
                <w:sz w:val="24"/>
                <w:szCs w:val="24"/>
              </w:rPr>
            </w:pPr>
            <w:r w:rsidRPr="00843C4A">
              <w:rPr>
                <w:rFonts w:ascii="ˎ̥" w:eastAsia="宋体" w:hAnsi="ˎ̥" w:cs="宋体"/>
                <w:b/>
                <w:bCs/>
                <w:color w:val="454545"/>
                <w:kern w:val="0"/>
                <w:sz w:val="24"/>
                <w:szCs w:val="24"/>
              </w:rPr>
              <w:pict>
                <v:rect id="_x0000_i1025" style="width:0;height:.75pt" o:hralign="center" o:hrstd="t" o:hr="t" fillcolor="#a0a0a0" stroked="f"/>
              </w:pict>
            </w:r>
          </w:p>
        </w:tc>
      </w:tr>
      <w:tr w:rsidR="00843C4A" w:rsidRPr="00843C4A" w:rsidTr="00843C4A">
        <w:trPr>
          <w:trHeight w:val="375"/>
          <w:tblCellSpacing w:w="0" w:type="dxa"/>
          <w:jc w:val="center"/>
        </w:trPr>
        <w:tc>
          <w:tcPr>
            <w:tcW w:w="0" w:type="auto"/>
            <w:vAlign w:val="center"/>
            <w:hideMark/>
          </w:tcPr>
          <w:p w:rsidR="00843C4A" w:rsidRPr="00843C4A" w:rsidRDefault="00843C4A" w:rsidP="00843C4A">
            <w:pPr>
              <w:widowControl/>
              <w:spacing w:line="540" w:lineRule="atLeast"/>
              <w:jc w:val="center"/>
              <w:rPr>
                <w:rFonts w:ascii="ˎ̥" w:eastAsia="宋体" w:hAnsi="ˎ̥" w:cs="宋体"/>
                <w:b/>
                <w:bCs/>
                <w:color w:val="DF0000"/>
                <w:kern w:val="0"/>
                <w:sz w:val="18"/>
                <w:szCs w:val="18"/>
              </w:rPr>
            </w:pPr>
            <w:r w:rsidRPr="00843C4A">
              <w:rPr>
                <w:rFonts w:ascii="ˎ̥" w:eastAsia="宋体" w:hAnsi="ˎ̥" w:cs="宋体"/>
                <w:b/>
                <w:bCs/>
                <w:color w:val="DF0000"/>
                <w:kern w:val="0"/>
                <w:sz w:val="18"/>
                <w:szCs w:val="18"/>
              </w:rPr>
              <w:t>财税字〔</w:t>
            </w:r>
            <w:r w:rsidRPr="00843C4A">
              <w:rPr>
                <w:rFonts w:ascii="ˎ̥" w:eastAsia="宋体" w:hAnsi="ˎ̥" w:cs="宋体"/>
                <w:b/>
                <w:bCs/>
                <w:color w:val="DF0000"/>
                <w:kern w:val="0"/>
                <w:sz w:val="18"/>
                <w:szCs w:val="18"/>
              </w:rPr>
              <w:t>1995</w:t>
            </w:r>
            <w:r w:rsidRPr="00843C4A">
              <w:rPr>
                <w:rFonts w:ascii="ˎ̥" w:eastAsia="宋体" w:hAnsi="ˎ̥" w:cs="宋体"/>
                <w:b/>
                <w:bCs/>
                <w:color w:val="DF0000"/>
                <w:kern w:val="0"/>
                <w:sz w:val="18"/>
                <w:szCs w:val="18"/>
              </w:rPr>
              <w:t>〕</w:t>
            </w:r>
            <w:r w:rsidRPr="00843C4A">
              <w:rPr>
                <w:rFonts w:ascii="ˎ̥" w:eastAsia="宋体" w:hAnsi="ˎ̥" w:cs="宋体"/>
                <w:b/>
                <w:bCs/>
                <w:color w:val="DF0000"/>
                <w:kern w:val="0"/>
                <w:sz w:val="18"/>
                <w:szCs w:val="18"/>
              </w:rPr>
              <w:t>48</w:t>
            </w:r>
            <w:r w:rsidRPr="00843C4A">
              <w:rPr>
                <w:rFonts w:ascii="ˎ̥" w:eastAsia="宋体" w:hAnsi="ˎ̥" w:cs="宋体"/>
                <w:b/>
                <w:bCs/>
                <w:color w:val="DF0000"/>
                <w:kern w:val="0"/>
                <w:sz w:val="18"/>
                <w:szCs w:val="18"/>
              </w:rPr>
              <w:t>号</w:t>
            </w:r>
            <w:r w:rsidRPr="00843C4A">
              <w:rPr>
                <w:rFonts w:ascii="ˎ̥" w:eastAsia="宋体" w:hAnsi="ˎ̥" w:cs="宋体"/>
                <w:b/>
                <w:bCs/>
                <w:color w:val="DF0000"/>
                <w:kern w:val="0"/>
                <w:sz w:val="18"/>
                <w:szCs w:val="18"/>
              </w:rPr>
              <w:t xml:space="preserve"> </w:t>
            </w:r>
          </w:p>
        </w:tc>
      </w:tr>
      <w:tr w:rsidR="00843C4A" w:rsidRPr="00843C4A" w:rsidTr="00843C4A">
        <w:trPr>
          <w:tblCellSpacing w:w="0" w:type="dxa"/>
          <w:jc w:val="center"/>
        </w:trPr>
        <w:tc>
          <w:tcPr>
            <w:tcW w:w="0" w:type="auto"/>
            <w:vAlign w:val="center"/>
            <w:hideMark/>
          </w:tcPr>
          <w:p w:rsidR="00843C4A" w:rsidRPr="00843C4A" w:rsidRDefault="00843C4A" w:rsidP="00843C4A">
            <w:pPr>
              <w:widowControl/>
              <w:spacing w:line="540" w:lineRule="atLeast"/>
              <w:jc w:val="right"/>
              <w:rPr>
                <w:rFonts w:ascii="ˎ̥" w:eastAsia="宋体" w:hAnsi="ˎ̥" w:cs="宋体"/>
                <w:color w:val="005DDC"/>
                <w:kern w:val="0"/>
                <w:sz w:val="18"/>
                <w:szCs w:val="18"/>
              </w:rPr>
            </w:pPr>
            <w:r w:rsidRPr="00843C4A">
              <w:rPr>
                <w:rFonts w:ascii="ˎ̥" w:eastAsia="宋体" w:hAnsi="ˎ̥" w:cs="宋体"/>
                <w:color w:val="FF0000"/>
                <w:kern w:val="0"/>
                <w:sz w:val="18"/>
                <w:szCs w:val="18"/>
              </w:rPr>
              <w:t>全文有效</w:t>
            </w:r>
            <w:r w:rsidRPr="00843C4A">
              <w:rPr>
                <w:rFonts w:ascii="ˎ̥" w:eastAsia="宋体" w:hAnsi="ˎ̥" w:cs="宋体"/>
                <w:color w:val="005DDC"/>
                <w:kern w:val="0"/>
                <w:sz w:val="18"/>
                <w:szCs w:val="18"/>
              </w:rPr>
              <w:t xml:space="preserve"> </w:t>
            </w:r>
            <w:r w:rsidRPr="00843C4A">
              <w:rPr>
                <w:rFonts w:ascii="ˎ̥" w:eastAsia="宋体" w:hAnsi="ˎ̥" w:cs="宋体"/>
                <w:color w:val="005DDC"/>
                <w:kern w:val="0"/>
                <w:sz w:val="18"/>
                <w:szCs w:val="18"/>
              </w:rPr>
              <w:t>成文日期：</w:t>
            </w:r>
            <w:r w:rsidRPr="00843C4A">
              <w:rPr>
                <w:rFonts w:ascii="ˎ̥" w:eastAsia="宋体" w:hAnsi="ˎ̥" w:cs="宋体"/>
                <w:color w:val="005DDC"/>
                <w:kern w:val="0"/>
                <w:sz w:val="18"/>
                <w:szCs w:val="18"/>
              </w:rPr>
              <w:t>1995-05-25</w:t>
            </w:r>
          </w:p>
        </w:tc>
      </w:tr>
      <w:tr w:rsidR="00843C4A" w:rsidRPr="00843C4A" w:rsidTr="00843C4A">
        <w:trPr>
          <w:tblCellSpacing w:w="0" w:type="dxa"/>
          <w:jc w:val="center"/>
        </w:trPr>
        <w:tc>
          <w:tcPr>
            <w:tcW w:w="0" w:type="auto"/>
            <w:tcMar>
              <w:top w:w="45" w:type="dxa"/>
              <w:left w:w="0" w:type="dxa"/>
              <w:bottom w:w="0" w:type="dxa"/>
              <w:right w:w="0" w:type="dxa"/>
            </w:tcMar>
            <w:vAlign w:val="center"/>
            <w:hideMark/>
          </w:tcPr>
          <w:p w:rsidR="00843C4A" w:rsidRPr="00843C4A" w:rsidRDefault="00843C4A" w:rsidP="00843C4A">
            <w:pPr>
              <w:widowControl/>
              <w:spacing w:line="270" w:lineRule="atLeast"/>
              <w:jc w:val="center"/>
              <w:rPr>
                <w:rFonts w:ascii="ˎ̥" w:eastAsia="宋体" w:hAnsi="ˎ̥" w:cs="宋体"/>
                <w:b/>
                <w:bCs/>
                <w:color w:val="111111"/>
                <w:kern w:val="0"/>
                <w:sz w:val="20"/>
                <w:szCs w:val="20"/>
              </w:rPr>
            </w:pPr>
          </w:p>
        </w:tc>
      </w:tr>
    </w:tbl>
    <w:p w:rsidR="00843C4A" w:rsidRPr="00843C4A" w:rsidRDefault="00843C4A" w:rsidP="00843C4A">
      <w:pPr>
        <w:widowControl/>
        <w:jc w:val="center"/>
        <w:rPr>
          <w:rFonts w:ascii="宋体" w:eastAsia="宋体" w:hAnsi="宋体" w:cs="宋体"/>
          <w:vanish/>
          <w:kern w:val="0"/>
          <w:sz w:val="24"/>
          <w:szCs w:val="24"/>
        </w:rPr>
      </w:pPr>
    </w:p>
    <w:tbl>
      <w:tblPr>
        <w:tblW w:w="4650" w:type="pct"/>
        <w:jc w:val="center"/>
        <w:tblCellSpacing w:w="0" w:type="dxa"/>
        <w:tblCellMar>
          <w:left w:w="0" w:type="dxa"/>
          <w:right w:w="0" w:type="dxa"/>
        </w:tblCellMar>
        <w:tblLook w:val="04A0"/>
      </w:tblPr>
      <w:tblGrid>
        <w:gridCol w:w="7725"/>
      </w:tblGrid>
      <w:tr w:rsidR="00843C4A" w:rsidRPr="00843C4A" w:rsidTr="00843C4A">
        <w:trPr>
          <w:tblCellSpacing w:w="0" w:type="dxa"/>
          <w:jc w:val="center"/>
        </w:trPr>
        <w:tc>
          <w:tcPr>
            <w:tcW w:w="0" w:type="auto"/>
            <w:vAlign w:val="center"/>
            <w:hideMark/>
          </w:tcPr>
          <w:p w:rsidR="00843C4A" w:rsidRPr="00843C4A" w:rsidRDefault="00843C4A" w:rsidP="00843C4A">
            <w:pPr>
              <w:widowControl/>
              <w:spacing w:line="540" w:lineRule="atLeast"/>
              <w:jc w:val="right"/>
              <w:divId w:val="540946110"/>
              <w:rPr>
                <w:rFonts w:ascii="ˎ̥" w:eastAsia="宋体" w:hAnsi="ˎ̥" w:cs="宋体"/>
                <w:color w:val="005DDC"/>
                <w:kern w:val="0"/>
                <w:sz w:val="18"/>
                <w:szCs w:val="18"/>
              </w:rPr>
            </w:pPr>
            <w:r w:rsidRPr="00843C4A">
              <w:rPr>
                <w:rFonts w:ascii="ˎ̥" w:eastAsia="宋体" w:hAnsi="ˎ̥" w:cs="宋体"/>
                <w:color w:val="005DDC"/>
                <w:kern w:val="0"/>
                <w:sz w:val="18"/>
                <w:szCs w:val="18"/>
              </w:rPr>
              <w:t>字体：</w:t>
            </w:r>
            <w:r w:rsidRPr="00843C4A">
              <w:rPr>
                <w:rFonts w:ascii="ˎ̥" w:eastAsia="宋体" w:hAnsi="ˎ̥" w:cs="宋体"/>
                <w:color w:val="005DDC"/>
                <w:kern w:val="0"/>
                <w:sz w:val="18"/>
                <w:szCs w:val="18"/>
              </w:rPr>
              <w:t xml:space="preserve"> </w:t>
            </w:r>
            <w:r w:rsidRPr="00843C4A">
              <w:rPr>
                <w:rFonts w:ascii="ˎ̥" w:eastAsia="宋体" w:hAnsi="ˎ̥" w:cs="宋体"/>
                <w:color w:val="005DDC"/>
                <w:kern w:val="0"/>
                <w:sz w:val="18"/>
                <w:szCs w:val="18"/>
              </w:rPr>
              <w:t>【</w:t>
            </w:r>
            <w:hyperlink r:id="rId4" w:history="1">
              <w:r w:rsidRPr="00843C4A">
                <w:rPr>
                  <w:rFonts w:ascii="ˎ̥" w:eastAsia="宋体" w:hAnsi="ˎ̥" w:cs="宋体"/>
                  <w:color w:val="222222"/>
                  <w:kern w:val="0"/>
                  <w:sz w:val="18"/>
                </w:rPr>
                <w:t>大</w:t>
              </w:r>
            </w:hyperlink>
            <w:r w:rsidRPr="00843C4A">
              <w:rPr>
                <w:rFonts w:ascii="ˎ̥" w:eastAsia="宋体" w:hAnsi="ˎ̥" w:cs="宋体"/>
                <w:color w:val="005DDC"/>
                <w:kern w:val="0"/>
                <w:sz w:val="18"/>
                <w:szCs w:val="18"/>
              </w:rPr>
              <w:t>】</w:t>
            </w:r>
            <w:r w:rsidRPr="00843C4A">
              <w:rPr>
                <w:rFonts w:ascii="ˎ̥" w:eastAsia="宋体" w:hAnsi="ˎ̥" w:cs="宋体"/>
                <w:color w:val="005DDC"/>
                <w:kern w:val="0"/>
                <w:sz w:val="18"/>
                <w:szCs w:val="18"/>
              </w:rPr>
              <w:t xml:space="preserve"> </w:t>
            </w:r>
            <w:r w:rsidRPr="00843C4A">
              <w:rPr>
                <w:rFonts w:ascii="ˎ̥" w:eastAsia="宋体" w:hAnsi="ˎ̥" w:cs="宋体"/>
                <w:color w:val="005DDC"/>
                <w:kern w:val="0"/>
                <w:sz w:val="18"/>
                <w:szCs w:val="18"/>
              </w:rPr>
              <w:t>【</w:t>
            </w:r>
            <w:hyperlink r:id="rId5" w:history="1">
              <w:r w:rsidRPr="00843C4A">
                <w:rPr>
                  <w:rFonts w:ascii="ˎ̥" w:eastAsia="宋体" w:hAnsi="ˎ̥" w:cs="宋体"/>
                  <w:color w:val="222222"/>
                  <w:kern w:val="0"/>
                  <w:sz w:val="18"/>
                </w:rPr>
                <w:t>中</w:t>
              </w:r>
            </w:hyperlink>
            <w:r w:rsidRPr="00843C4A">
              <w:rPr>
                <w:rFonts w:ascii="ˎ̥" w:eastAsia="宋体" w:hAnsi="ˎ̥" w:cs="宋体"/>
                <w:color w:val="005DDC"/>
                <w:kern w:val="0"/>
                <w:sz w:val="18"/>
                <w:szCs w:val="18"/>
              </w:rPr>
              <w:t>】</w:t>
            </w:r>
            <w:r w:rsidRPr="00843C4A">
              <w:rPr>
                <w:rFonts w:ascii="ˎ̥" w:eastAsia="宋体" w:hAnsi="ˎ̥" w:cs="宋体"/>
                <w:color w:val="005DDC"/>
                <w:kern w:val="0"/>
                <w:sz w:val="18"/>
                <w:szCs w:val="18"/>
              </w:rPr>
              <w:t xml:space="preserve"> </w:t>
            </w:r>
            <w:r w:rsidRPr="00843C4A">
              <w:rPr>
                <w:rFonts w:ascii="ˎ̥" w:eastAsia="宋体" w:hAnsi="ˎ̥" w:cs="宋体"/>
                <w:color w:val="005DDC"/>
                <w:kern w:val="0"/>
                <w:sz w:val="18"/>
                <w:szCs w:val="18"/>
              </w:rPr>
              <w:t>【</w:t>
            </w:r>
            <w:hyperlink r:id="rId6" w:history="1">
              <w:r w:rsidRPr="00843C4A">
                <w:rPr>
                  <w:rFonts w:ascii="ˎ̥" w:eastAsia="宋体" w:hAnsi="ˎ̥" w:cs="宋体"/>
                  <w:color w:val="222222"/>
                  <w:kern w:val="0"/>
                  <w:sz w:val="18"/>
                </w:rPr>
                <w:t>小</w:t>
              </w:r>
            </w:hyperlink>
            <w:r w:rsidRPr="00843C4A">
              <w:rPr>
                <w:rFonts w:ascii="ˎ̥" w:eastAsia="宋体" w:hAnsi="ˎ̥" w:cs="宋体"/>
                <w:color w:val="005DDC"/>
                <w:kern w:val="0"/>
                <w:sz w:val="18"/>
                <w:szCs w:val="18"/>
              </w:rPr>
              <w:t>】</w:t>
            </w:r>
            <w:r w:rsidRPr="00843C4A">
              <w:rPr>
                <w:rFonts w:ascii="ˎ̥" w:eastAsia="宋体" w:hAnsi="ˎ̥" w:cs="宋体"/>
                <w:color w:val="005DDC"/>
                <w:kern w:val="0"/>
                <w:sz w:val="18"/>
                <w:szCs w:val="18"/>
              </w:rPr>
              <w:t xml:space="preserve"> </w:t>
            </w:r>
          </w:p>
        </w:tc>
      </w:tr>
    </w:tbl>
    <w:p w:rsidR="00843C4A" w:rsidRPr="00843C4A" w:rsidRDefault="00843C4A" w:rsidP="00843C4A">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843C4A" w:rsidRPr="00843C4A" w:rsidTr="00843C4A">
        <w:trPr>
          <w:tblCellSpacing w:w="0" w:type="dxa"/>
          <w:jc w:val="center"/>
        </w:trPr>
        <w:tc>
          <w:tcPr>
            <w:tcW w:w="0" w:type="auto"/>
            <w:vAlign w:val="center"/>
            <w:hideMark/>
          </w:tcPr>
          <w:p w:rsidR="00843C4A" w:rsidRPr="00843C4A" w:rsidRDefault="00843C4A" w:rsidP="00843C4A">
            <w:pPr>
              <w:widowControl/>
              <w:spacing w:line="540" w:lineRule="atLeast"/>
              <w:jc w:val="left"/>
              <w:rPr>
                <w:rFonts w:ascii="宋体" w:eastAsia="宋体" w:hAnsi="宋体" w:cs="宋体"/>
                <w:color w:val="000000"/>
                <w:kern w:val="0"/>
                <w:sz w:val="24"/>
                <w:szCs w:val="24"/>
              </w:rPr>
            </w:pPr>
            <w:r w:rsidRPr="00843C4A">
              <w:rPr>
                <w:rFonts w:ascii="宋体" w:eastAsia="宋体" w:hAnsi="宋体" w:cs="宋体" w:hint="eastAsia"/>
                <w:color w:val="000000"/>
                <w:kern w:val="0"/>
                <w:sz w:val="24"/>
                <w:szCs w:val="24"/>
              </w:rPr>
              <w:t>按照《中华人民共和国土地增值税暂行条例》（以下简称条例）和《中华人民共和国土地增值税暂行条例实施细则》（以下简称细则）的规定，现对土地增值税一些具体问题规定如下：</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一、关于以房地产进行投资、联营的征免税问题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highlight w:val="yellow"/>
              </w:rPr>
              <w:t>对于以房地产进行投资、联营的，投资、联营的一方以土地（房地产）作价入股进行投资或作为联营条件，将房地产转让到所投资、联营的企业中时，暂免征收土地增值税。对投资、联营企业将上述房地产再转让的，应征收土地增值税。</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二、关于合作建房的征免税问题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highlight w:val="yellow"/>
              </w:rPr>
              <w:t>对于一方出地，一方出资金，双方合作建房，建成后按比例分房自用的，暂免征收土地增值税；建成后转让的，应征收土地增值税。</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三、关于企业兼并转让房地产的征免税问题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highlight w:val="yellow"/>
              </w:rPr>
              <w:t>在企业兼并中，对被兼并企业将房地产转让到兼并企业中的，暂免征收土地增值税。</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四、关于细则中“赠与”所包括的范围问题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细则所称的“赠与”是</w:t>
            </w:r>
            <w:proofErr w:type="gramStart"/>
            <w:r w:rsidRPr="00843C4A">
              <w:rPr>
                <w:rFonts w:ascii="宋体" w:eastAsia="宋体" w:hAnsi="宋体" w:cs="宋体" w:hint="eastAsia"/>
                <w:color w:val="000000"/>
                <w:kern w:val="0"/>
                <w:sz w:val="24"/>
                <w:szCs w:val="24"/>
              </w:rPr>
              <w:t>指如下</w:t>
            </w:r>
            <w:proofErr w:type="gramEnd"/>
            <w:r w:rsidRPr="00843C4A">
              <w:rPr>
                <w:rFonts w:ascii="宋体" w:eastAsia="宋体" w:hAnsi="宋体" w:cs="宋体" w:hint="eastAsia"/>
                <w:color w:val="000000"/>
                <w:kern w:val="0"/>
                <w:sz w:val="24"/>
                <w:szCs w:val="24"/>
              </w:rPr>
              <w:t>情况：</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（一）房产所有人、土地使用权所有人将房屋产权、土地使用权赠与直系亲属或承担直接赡养义务人的。</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（二）房产所有人、土地使用权所有人通过中国境内非营利的社会团体、国家机关将房屋产权、土地使用权赠与教育、民政和其他社会福利、公益事业的。</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lastRenderedPageBreak/>
              <w:t>上述社会团体是指中国青少年发展基金会、希望工程基金会、宋庆龄基金会、减灾委员会、中国红十字会、中国残疾人联合会、全国老年基金会、老区促进会以及经民政部门批准成立的其他非营利的公益性组织。</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五、关于个人互换住房的征免税问题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对个人之间</w:t>
            </w:r>
            <w:proofErr w:type="gramStart"/>
            <w:r w:rsidRPr="00843C4A">
              <w:rPr>
                <w:rFonts w:ascii="宋体" w:eastAsia="宋体" w:hAnsi="宋体" w:cs="宋体" w:hint="eastAsia"/>
                <w:color w:val="000000"/>
                <w:kern w:val="0"/>
                <w:sz w:val="24"/>
                <w:szCs w:val="24"/>
              </w:rPr>
              <w:t>互换自</w:t>
            </w:r>
            <w:proofErr w:type="gramEnd"/>
            <w:r w:rsidRPr="00843C4A">
              <w:rPr>
                <w:rFonts w:ascii="宋体" w:eastAsia="宋体" w:hAnsi="宋体" w:cs="宋体" w:hint="eastAsia"/>
                <w:color w:val="000000"/>
                <w:kern w:val="0"/>
                <w:sz w:val="24"/>
                <w:szCs w:val="24"/>
              </w:rPr>
              <w:t>有居住用房地产的，经当地税务机关核实，可以免征土地增值税。</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六、关于地方政府要求房地产开发企业代收的费用如何计征土地增值税的问题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对于县级及县级以上人民政府要求房地产开发企业在售房时代收的各项费用，如果代收费用是计入房价中向购买方一并收取的，可作为转让房地产所取得的收入计税；如果代收费用未计入房价中，而是在房价之外单独收取的，可以不作为转让房地产的收入。</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对于代收费用作为转让收入计税的，在计算扣除项目金额时，可予以扣除，但不允许作为加计20%扣除的基数；对于代收费用未作为转让房地产的收入计税的，在计算增值额时不允许扣除代收费用。</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七、关于新建房与旧房的界定问题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新建房是</w:t>
            </w:r>
            <w:proofErr w:type="gramStart"/>
            <w:r w:rsidRPr="00843C4A">
              <w:rPr>
                <w:rFonts w:ascii="宋体" w:eastAsia="宋体" w:hAnsi="宋体" w:cs="宋体" w:hint="eastAsia"/>
                <w:color w:val="000000"/>
                <w:kern w:val="0"/>
                <w:sz w:val="24"/>
                <w:szCs w:val="24"/>
              </w:rPr>
              <w:t>指建成</w:t>
            </w:r>
            <w:proofErr w:type="gramEnd"/>
            <w:r w:rsidRPr="00843C4A">
              <w:rPr>
                <w:rFonts w:ascii="宋体" w:eastAsia="宋体" w:hAnsi="宋体" w:cs="宋体" w:hint="eastAsia"/>
                <w:color w:val="000000"/>
                <w:kern w:val="0"/>
                <w:sz w:val="24"/>
                <w:szCs w:val="24"/>
              </w:rPr>
              <w:t>后未使用的房产。凡是已使用一定时间或达到一定磨损程度的房产均属旧房。使用时间和磨损程度标准可由各省、自治区、直辖市财政厅（局）和地方税务局具体规定。</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八、关于扣除项目金额中的利息支出如何计算问题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（一）利息的上浮幅度按国家的有关规定执行，超过上浮幅度的部分不允许扣除；</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（二）对于超过贷款期限的利息部分和加罚的利息不允许扣除。</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九、关于计算增值额时扣除已缴纳印花税的问题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细则中规定允许扣除的印花税，是指在转让房地产时缴纳的印花税。房地产</w:t>
            </w:r>
            <w:r w:rsidRPr="00843C4A">
              <w:rPr>
                <w:rFonts w:ascii="宋体" w:eastAsia="宋体" w:hAnsi="宋体" w:cs="宋体" w:hint="eastAsia"/>
                <w:color w:val="000000"/>
                <w:kern w:val="0"/>
                <w:sz w:val="24"/>
                <w:szCs w:val="24"/>
              </w:rPr>
              <w:lastRenderedPageBreak/>
              <w:t>开发企业按照《施工、房地产开发企业财务制度》的有关规定，其缴纳的印花税列入管理费用，已相应予以扣除。其他的土地增值税纳税义务人在计算土地增值税时允许扣除在转让时缴纳的印花税。</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十、关于转让旧房如何确定扣除项目金额的问题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转让旧房的，应按房屋及建筑物的评估价格、取得土地使用权所支付的地价款和按国家统一规定交纳的有关费用以及在转让环节缴纳的税金作为扣除项目金额计征土地增值税。对取得土地使用权时未支付地价款或不能提供已支付的地价款凭据的，不允许扣除取得土地使用权所支付的金额。</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十一、关于已缴纳的契税可否在计税时扣除的问题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对于个人购入房地产再转让的，其在购</w:t>
            </w:r>
            <w:proofErr w:type="gramStart"/>
            <w:r w:rsidRPr="00843C4A">
              <w:rPr>
                <w:rFonts w:ascii="宋体" w:eastAsia="宋体" w:hAnsi="宋体" w:cs="宋体" w:hint="eastAsia"/>
                <w:color w:val="000000"/>
                <w:kern w:val="0"/>
                <w:sz w:val="24"/>
                <w:szCs w:val="24"/>
              </w:rPr>
              <w:t>入时已</w:t>
            </w:r>
            <w:proofErr w:type="gramEnd"/>
            <w:r w:rsidRPr="00843C4A">
              <w:rPr>
                <w:rFonts w:ascii="宋体" w:eastAsia="宋体" w:hAnsi="宋体" w:cs="宋体" w:hint="eastAsia"/>
                <w:color w:val="000000"/>
                <w:kern w:val="0"/>
                <w:sz w:val="24"/>
                <w:szCs w:val="24"/>
              </w:rPr>
              <w:t>缴纳的契税，在旧房及建筑物的评估价中已包括了此项因素，在计征土地增值税时，</w:t>
            </w:r>
            <w:proofErr w:type="gramStart"/>
            <w:r w:rsidRPr="00843C4A">
              <w:rPr>
                <w:rFonts w:ascii="宋体" w:eastAsia="宋体" w:hAnsi="宋体" w:cs="宋体" w:hint="eastAsia"/>
                <w:color w:val="000000"/>
                <w:kern w:val="0"/>
                <w:sz w:val="24"/>
                <w:szCs w:val="24"/>
              </w:rPr>
              <w:t>不</w:t>
            </w:r>
            <w:proofErr w:type="gramEnd"/>
            <w:r w:rsidRPr="00843C4A">
              <w:rPr>
                <w:rFonts w:ascii="宋体" w:eastAsia="宋体" w:hAnsi="宋体" w:cs="宋体" w:hint="eastAsia"/>
                <w:color w:val="000000"/>
                <w:kern w:val="0"/>
                <w:sz w:val="24"/>
                <w:szCs w:val="24"/>
              </w:rPr>
              <w:t>另作为“与转让房地产有关的税金”予以扣除。</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十二、关于评估费用可否在计算增值额时扣除的问题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纳税人转让旧房及建筑物时因计算纳税的需要而对房地产进行评估，其支付的评估费用允许在计算增值额时予以扣除。对条例第九条规定的纳税人隐瞒、虚报房地产成交价格等情形而按房地产评估价格计算征收土地增值税所发生的评估费用，不允许在计算土地增值税时予以扣除。</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十三、关于既</w:t>
            </w:r>
            <w:proofErr w:type="gramStart"/>
            <w:r w:rsidRPr="00843C4A">
              <w:rPr>
                <w:rFonts w:ascii="宋体" w:eastAsia="宋体" w:hAnsi="宋体" w:cs="宋体" w:hint="eastAsia"/>
                <w:color w:val="000000"/>
                <w:kern w:val="0"/>
                <w:sz w:val="24"/>
                <w:szCs w:val="24"/>
              </w:rPr>
              <w:t>建普通</w:t>
            </w:r>
            <w:proofErr w:type="gramEnd"/>
            <w:r w:rsidRPr="00843C4A">
              <w:rPr>
                <w:rFonts w:ascii="宋体" w:eastAsia="宋体" w:hAnsi="宋体" w:cs="宋体" w:hint="eastAsia"/>
                <w:color w:val="000000"/>
                <w:kern w:val="0"/>
                <w:sz w:val="24"/>
                <w:szCs w:val="24"/>
              </w:rPr>
              <w:t>标准住宅又搞其他类型房地产开发的如何计税的问题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对纳税人既</w:t>
            </w:r>
            <w:proofErr w:type="gramStart"/>
            <w:r w:rsidRPr="00843C4A">
              <w:rPr>
                <w:rFonts w:ascii="宋体" w:eastAsia="宋体" w:hAnsi="宋体" w:cs="宋体" w:hint="eastAsia"/>
                <w:color w:val="000000"/>
                <w:kern w:val="0"/>
                <w:sz w:val="24"/>
                <w:szCs w:val="24"/>
              </w:rPr>
              <w:t>建普通</w:t>
            </w:r>
            <w:proofErr w:type="gramEnd"/>
            <w:r w:rsidRPr="00843C4A">
              <w:rPr>
                <w:rFonts w:ascii="宋体" w:eastAsia="宋体" w:hAnsi="宋体" w:cs="宋体" w:hint="eastAsia"/>
                <w:color w:val="000000"/>
                <w:kern w:val="0"/>
                <w:sz w:val="24"/>
                <w:szCs w:val="24"/>
              </w:rPr>
              <w:t>标准住宅又搞其他房地产开发的，应分别</w:t>
            </w:r>
            <w:proofErr w:type="gramStart"/>
            <w:r w:rsidRPr="00843C4A">
              <w:rPr>
                <w:rFonts w:ascii="宋体" w:eastAsia="宋体" w:hAnsi="宋体" w:cs="宋体" w:hint="eastAsia"/>
                <w:color w:val="000000"/>
                <w:kern w:val="0"/>
                <w:sz w:val="24"/>
                <w:szCs w:val="24"/>
              </w:rPr>
              <w:t>核算增值</w:t>
            </w:r>
            <w:proofErr w:type="gramEnd"/>
            <w:r w:rsidRPr="00843C4A">
              <w:rPr>
                <w:rFonts w:ascii="宋体" w:eastAsia="宋体" w:hAnsi="宋体" w:cs="宋体" w:hint="eastAsia"/>
                <w:color w:val="000000"/>
                <w:kern w:val="0"/>
                <w:sz w:val="24"/>
                <w:szCs w:val="24"/>
              </w:rPr>
              <w:t>额。不分别</w:t>
            </w:r>
            <w:proofErr w:type="gramStart"/>
            <w:r w:rsidRPr="00843C4A">
              <w:rPr>
                <w:rFonts w:ascii="宋体" w:eastAsia="宋体" w:hAnsi="宋体" w:cs="宋体" w:hint="eastAsia"/>
                <w:color w:val="000000"/>
                <w:kern w:val="0"/>
                <w:sz w:val="24"/>
                <w:szCs w:val="24"/>
              </w:rPr>
              <w:t>核算增值</w:t>
            </w:r>
            <w:proofErr w:type="gramEnd"/>
            <w:r w:rsidRPr="00843C4A">
              <w:rPr>
                <w:rFonts w:ascii="宋体" w:eastAsia="宋体" w:hAnsi="宋体" w:cs="宋体" w:hint="eastAsia"/>
                <w:color w:val="000000"/>
                <w:kern w:val="0"/>
                <w:sz w:val="24"/>
                <w:szCs w:val="24"/>
              </w:rPr>
              <w:t>额或不能准确</w:t>
            </w:r>
            <w:proofErr w:type="gramStart"/>
            <w:r w:rsidRPr="00843C4A">
              <w:rPr>
                <w:rFonts w:ascii="宋体" w:eastAsia="宋体" w:hAnsi="宋体" w:cs="宋体" w:hint="eastAsia"/>
                <w:color w:val="000000"/>
                <w:kern w:val="0"/>
                <w:sz w:val="24"/>
                <w:szCs w:val="24"/>
              </w:rPr>
              <w:t>核算增值</w:t>
            </w:r>
            <w:proofErr w:type="gramEnd"/>
            <w:r w:rsidRPr="00843C4A">
              <w:rPr>
                <w:rFonts w:ascii="宋体" w:eastAsia="宋体" w:hAnsi="宋体" w:cs="宋体" w:hint="eastAsia"/>
                <w:color w:val="000000"/>
                <w:kern w:val="0"/>
                <w:sz w:val="24"/>
                <w:szCs w:val="24"/>
              </w:rPr>
              <w:t>额的，其建造的普通标准住宅不能适用条例第八条（一）项的免税规定。</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十四、关于预售房地产所取得的收入是否申报纳税的问题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根据细则的规定，对纳税人在项目全部竣工结算前转让房地产取得的收入可以预征土地增值税。具体办法由各省、自治区、直辖市地方税务局根据当地情况制定。因此，对纳税人预售房地产所取得的收入，当地税务机关规定预</w:t>
            </w:r>
            <w:r w:rsidRPr="00843C4A">
              <w:rPr>
                <w:rFonts w:ascii="宋体" w:eastAsia="宋体" w:hAnsi="宋体" w:cs="宋体" w:hint="eastAsia"/>
                <w:color w:val="000000"/>
                <w:kern w:val="0"/>
                <w:sz w:val="24"/>
                <w:szCs w:val="24"/>
              </w:rPr>
              <w:lastRenderedPageBreak/>
              <w:t>征土地增值税的，纳税人应当到主管税务机关办理纳税申报，并按规定比例预交，待办理决算后，多退少补；当地税务机关规定</w:t>
            </w:r>
            <w:proofErr w:type="gramStart"/>
            <w:r w:rsidRPr="00843C4A">
              <w:rPr>
                <w:rFonts w:ascii="宋体" w:eastAsia="宋体" w:hAnsi="宋体" w:cs="宋体" w:hint="eastAsia"/>
                <w:color w:val="000000"/>
                <w:kern w:val="0"/>
                <w:sz w:val="24"/>
                <w:szCs w:val="24"/>
              </w:rPr>
              <w:t>不</w:t>
            </w:r>
            <w:proofErr w:type="gramEnd"/>
            <w:r w:rsidRPr="00843C4A">
              <w:rPr>
                <w:rFonts w:ascii="宋体" w:eastAsia="宋体" w:hAnsi="宋体" w:cs="宋体" w:hint="eastAsia"/>
                <w:color w:val="000000"/>
                <w:kern w:val="0"/>
                <w:sz w:val="24"/>
                <w:szCs w:val="24"/>
              </w:rPr>
              <w:t>预征土地增值税的，也应在取得收入时先到税务机关登记或备案。</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十五、关于分期收款的外币收入如何折合人民币的问题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对于取得的收入为外国货币的，依照细则规定，以取得收入当天或当月1日国家公布的市场汇价折合人民币，据以计算土地增值税税额。对于以分期收款形式取得的外币收入，也应按实际收款日或收款当月1日国家公布的市场汇价折合人民币。</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十六、关于纳税期限的问题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根据条例第十条、第十二条和细则第十五条的规定，税务机关核定的纳税期限，应在纳税人签订房地产转让合同之后、办理房地产权属转让（即过户及登记）手续之前。</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十七、关于财政部、国家税务总局《关于对1994年1月1日前签订开发及转让合同的房地产征免土地增值税的通知》（</w:t>
            </w:r>
            <w:proofErr w:type="gramStart"/>
            <w:r w:rsidRPr="00843C4A">
              <w:rPr>
                <w:rFonts w:ascii="宋体" w:eastAsia="宋体" w:hAnsi="宋体" w:cs="宋体" w:hint="eastAsia"/>
                <w:color w:val="000000"/>
                <w:kern w:val="0"/>
                <w:sz w:val="24"/>
                <w:szCs w:val="24"/>
              </w:rPr>
              <w:t>财法字</w:t>
            </w:r>
            <w:proofErr w:type="gramEnd"/>
            <w:r w:rsidRPr="00843C4A">
              <w:rPr>
                <w:rFonts w:ascii="宋体" w:eastAsia="宋体" w:hAnsi="宋体" w:cs="宋体" w:hint="eastAsia"/>
                <w:color w:val="000000"/>
                <w:kern w:val="0"/>
                <w:sz w:val="24"/>
                <w:szCs w:val="24"/>
              </w:rPr>
              <w:t>〔1995〕7号）适用范围的问题。</w:t>
            </w:r>
          </w:p>
          <w:p w:rsidR="00843C4A" w:rsidRPr="00843C4A" w:rsidRDefault="00843C4A" w:rsidP="00843C4A">
            <w:pPr>
              <w:widowControl/>
              <w:spacing w:line="540" w:lineRule="atLeast"/>
              <w:jc w:val="left"/>
              <w:rPr>
                <w:rFonts w:ascii="宋体" w:eastAsia="宋体" w:hAnsi="宋体" w:cs="宋体" w:hint="eastAsia"/>
                <w:color w:val="000000"/>
                <w:kern w:val="0"/>
                <w:sz w:val="24"/>
                <w:szCs w:val="24"/>
              </w:rPr>
            </w:pPr>
            <w:r w:rsidRPr="00843C4A">
              <w:rPr>
                <w:rFonts w:ascii="宋体" w:eastAsia="宋体" w:hAnsi="宋体" w:cs="宋体" w:hint="eastAsia"/>
                <w:color w:val="000000"/>
                <w:kern w:val="0"/>
                <w:sz w:val="24"/>
                <w:szCs w:val="24"/>
              </w:rPr>
              <w:t>该通知规定的适用范围，限于房地产开发企业转让新建房地产的行为，非房地产开发企业或房地产开发企业转让存量房地产的，不适用此规定。</w:t>
            </w:r>
          </w:p>
          <w:p w:rsidR="00843C4A" w:rsidRPr="00843C4A" w:rsidRDefault="00843C4A" w:rsidP="00843C4A">
            <w:pPr>
              <w:widowControl/>
              <w:spacing w:line="540" w:lineRule="atLeast"/>
              <w:jc w:val="left"/>
              <w:rPr>
                <w:rFonts w:ascii="宋体" w:eastAsia="宋体" w:hAnsi="宋体" w:cs="宋体"/>
                <w:color w:val="000000"/>
                <w:kern w:val="0"/>
                <w:sz w:val="24"/>
                <w:szCs w:val="24"/>
              </w:rPr>
            </w:pPr>
          </w:p>
        </w:tc>
      </w:tr>
    </w:tbl>
    <w:p w:rsidR="00AB2D9F" w:rsidRPr="00843C4A" w:rsidRDefault="00AB2D9F">
      <w:pPr>
        <w:rPr>
          <w:rFonts w:hint="eastAsia"/>
        </w:rPr>
      </w:pPr>
    </w:p>
    <w:sectPr w:rsidR="00AB2D9F" w:rsidRPr="00843C4A" w:rsidSect="00AB2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C4A"/>
    <w:rsid w:val="00005A8D"/>
    <w:rsid w:val="00006DD9"/>
    <w:rsid w:val="0001168D"/>
    <w:rsid w:val="00011723"/>
    <w:rsid w:val="00021A3C"/>
    <w:rsid w:val="00036C0E"/>
    <w:rsid w:val="00037946"/>
    <w:rsid w:val="00061011"/>
    <w:rsid w:val="00063EF1"/>
    <w:rsid w:val="00066EB6"/>
    <w:rsid w:val="00074BD8"/>
    <w:rsid w:val="00075D91"/>
    <w:rsid w:val="00080A67"/>
    <w:rsid w:val="0008602B"/>
    <w:rsid w:val="00095AEE"/>
    <w:rsid w:val="000A1A59"/>
    <w:rsid w:val="000A2657"/>
    <w:rsid w:val="000B2C11"/>
    <w:rsid w:val="000C2B2D"/>
    <w:rsid w:val="000C6A6B"/>
    <w:rsid w:val="000D1106"/>
    <w:rsid w:val="000D4295"/>
    <w:rsid w:val="000F0D45"/>
    <w:rsid w:val="00103A0F"/>
    <w:rsid w:val="001205B1"/>
    <w:rsid w:val="00131187"/>
    <w:rsid w:val="00132B73"/>
    <w:rsid w:val="00150412"/>
    <w:rsid w:val="00157792"/>
    <w:rsid w:val="00157C6A"/>
    <w:rsid w:val="00162471"/>
    <w:rsid w:val="001662E5"/>
    <w:rsid w:val="001746EA"/>
    <w:rsid w:val="00194C62"/>
    <w:rsid w:val="00196714"/>
    <w:rsid w:val="001A125A"/>
    <w:rsid w:val="001A298C"/>
    <w:rsid w:val="001A3844"/>
    <w:rsid w:val="001A6489"/>
    <w:rsid w:val="001C3C89"/>
    <w:rsid w:val="001C3E0C"/>
    <w:rsid w:val="001D1DFD"/>
    <w:rsid w:val="001E4289"/>
    <w:rsid w:val="001E666A"/>
    <w:rsid w:val="001F2428"/>
    <w:rsid w:val="00205721"/>
    <w:rsid w:val="002104EF"/>
    <w:rsid w:val="0021453F"/>
    <w:rsid w:val="0021562C"/>
    <w:rsid w:val="00227219"/>
    <w:rsid w:val="002357CA"/>
    <w:rsid w:val="00235E3A"/>
    <w:rsid w:val="0024115A"/>
    <w:rsid w:val="00243540"/>
    <w:rsid w:val="00245DB0"/>
    <w:rsid w:val="00266616"/>
    <w:rsid w:val="00266734"/>
    <w:rsid w:val="00271677"/>
    <w:rsid w:val="00273246"/>
    <w:rsid w:val="002917C4"/>
    <w:rsid w:val="002944BD"/>
    <w:rsid w:val="00296341"/>
    <w:rsid w:val="002A1872"/>
    <w:rsid w:val="002A6009"/>
    <w:rsid w:val="002A6628"/>
    <w:rsid w:val="002B064D"/>
    <w:rsid w:val="002B1CFB"/>
    <w:rsid w:val="002B446B"/>
    <w:rsid w:val="002C07E2"/>
    <w:rsid w:val="002C7C4D"/>
    <w:rsid w:val="002D2DDD"/>
    <w:rsid w:val="002D48B5"/>
    <w:rsid w:val="002F044A"/>
    <w:rsid w:val="00320C96"/>
    <w:rsid w:val="00320F77"/>
    <w:rsid w:val="003416DD"/>
    <w:rsid w:val="003450A3"/>
    <w:rsid w:val="00351735"/>
    <w:rsid w:val="00355448"/>
    <w:rsid w:val="0035621C"/>
    <w:rsid w:val="003727DB"/>
    <w:rsid w:val="00390B72"/>
    <w:rsid w:val="003A0009"/>
    <w:rsid w:val="003A06F3"/>
    <w:rsid w:val="003A3D0D"/>
    <w:rsid w:val="003A67FB"/>
    <w:rsid w:val="003B6CB2"/>
    <w:rsid w:val="003D20F5"/>
    <w:rsid w:val="003E445C"/>
    <w:rsid w:val="004137AE"/>
    <w:rsid w:val="00417D54"/>
    <w:rsid w:val="00426D65"/>
    <w:rsid w:val="00433879"/>
    <w:rsid w:val="00436B37"/>
    <w:rsid w:val="00444E62"/>
    <w:rsid w:val="00446C6B"/>
    <w:rsid w:val="00461283"/>
    <w:rsid w:val="00461E08"/>
    <w:rsid w:val="00463240"/>
    <w:rsid w:val="00470700"/>
    <w:rsid w:val="0047357E"/>
    <w:rsid w:val="00476284"/>
    <w:rsid w:val="00491913"/>
    <w:rsid w:val="004A209B"/>
    <w:rsid w:val="004B2C5F"/>
    <w:rsid w:val="004B648D"/>
    <w:rsid w:val="004C3DA4"/>
    <w:rsid w:val="004C4374"/>
    <w:rsid w:val="004D0495"/>
    <w:rsid w:val="004D1C83"/>
    <w:rsid w:val="004D50A8"/>
    <w:rsid w:val="004D74B9"/>
    <w:rsid w:val="004E070D"/>
    <w:rsid w:val="004E1856"/>
    <w:rsid w:val="004E6D09"/>
    <w:rsid w:val="004F3162"/>
    <w:rsid w:val="004F48DA"/>
    <w:rsid w:val="005005A5"/>
    <w:rsid w:val="00504293"/>
    <w:rsid w:val="00504317"/>
    <w:rsid w:val="00511C19"/>
    <w:rsid w:val="00523D05"/>
    <w:rsid w:val="00536496"/>
    <w:rsid w:val="00543EDB"/>
    <w:rsid w:val="0054443C"/>
    <w:rsid w:val="005547C9"/>
    <w:rsid w:val="005568D2"/>
    <w:rsid w:val="0056044E"/>
    <w:rsid w:val="00567443"/>
    <w:rsid w:val="00590704"/>
    <w:rsid w:val="005A0A82"/>
    <w:rsid w:val="005A5D9F"/>
    <w:rsid w:val="005B2EC9"/>
    <w:rsid w:val="005B33B2"/>
    <w:rsid w:val="005B6BBE"/>
    <w:rsid w:val="005C136D"/>
    <w:rsid w:val="005C160C"/>
    <w:rsid w:val="005D3B70"/>
    <w:rsid w:val="005D57F5"/>
    <w:rsid w:val="005D79C5"/>
    <w:rsid w:val="005E181F"/>
    <w:rsid w:val="005E55F7"/>
    <w:rsid w:val="005E7569"/>
    <w:rsid w:val="005E791F"/>
    <w:rsid w:val="005F1484"/>
    <w:rsid w:val="00611DA7"/>
    <w:rsid w:val="0061371C"/>
    <w:rsid w:val="006241CF"/>
    <w:rsid w:val="0062605B"/>
    <w:rsid w:val="006337D6"/>
    <w:rsid w:val="00644498"/>
    <w:rsid w:val="00664167"/>
    <w:rsid w:val="00664185"/>
    <w:rsid w:val="00675BD1"/>
    <w:rsid w:val="00677D9E"/>
    <w:rsid w:val="00680ADA"/>
    <w:rsid w:val="00685546"/>
    <w:rsid w:val="00693EDE"/>
    <w:rsid w:val="00694265"/>
    <w:rsid w:val="006B2B82"/>
    <w:rsid w:val="006B3E05"/>
    <w:rsid w:val="006B47CD"/>
    <w:rsid w:val="006B73B9"/>
    <w:rsid w:val="006C3AAC"/>
    <w:rsid w:val="006C5014"/>
    <w:rsid w:val="006D0B34"/>
    <w:rsid w:val="006D700F"/>
    <w:rsid w:val="006E3086"/>
    <w:rsid w:val="006F36CD"/>
    <w:rsid w:val="006F5CC8"/>
    <w:rsid w:val="00702012"/>
    <w:rsid w:val="00707B85"/>
    <w:rsid w:val="00716997"/>
    <w:rsid w:val="0071773F"/>
    <w:rsid w:val="00722415"/>
    <w:rsid w:val="00722819"/>
    <w:rsid w:val="00730A9E"/>
    <w:rsid w:val="00733801"/>
    <w:rsid w:val="00736384"/>
    <w:rsid w:val="00736BA5"/>
    <w:rsid w:val="007413B5"/>
    <w:rsid w:val="0076355D"/>
    <w:rsid w:val="007714B6"/>
    <w:rsid w:val="00785CB7"/>
    <w:rsid w:val="00786CAA"/>
    <w:rsid w:val="007B3B72"/>
    <w:rsid w:val="007C58F7"/>
    <w:rsid w:val="007D0591"/>
    <w:rsid w:val="007D108B"/>
    <w:rsid w:val="007D68B9"/>
    <w:rsid w:val="007D6A13"/>
    <w:rsid w:val="007D7229"/>
    <w:rsid w:val="007F05A7"/>
    <w:rsid w:val="007F2789"/>
    <w:rsid w:val="007F4500"/>
    <w:rsid w:val="007F6C9E"/>
    <w:rsid w:val="00811436"/>
    <w:rsid w:val="00815DF3"/>
    <w:rsid w:val="00823E3C"/>
    <w:rsid w:val="0082577F"/>
    <w:rsid w:val="00833F45"/>
    <w:rsid w:val="008423C1"/>
    <w:rsid w:val="00843C4A"/>
    <w:rsid w:val="00843FEC"/>
    <w:rsid w:val="00844D51"/>
    <w:rsid w:val="00847800"/>
    <w:rsid w:val="0085001C"/>
    <w:rsid w:val="0085609C"/>
    <w:rsid w:val="00863770"/>
    <w:rsid w:val="00867EF7"/>
    <w:rsid w:val="00873DA6"/>
    <w:rsid w:val="00881D72"/>
    <w:rsid w:val="00882FEC"/>
    <w:rsid w:val="008901DB"/>
    <w:rsid w:val="00892557"/>
    <w:rsid w:val="00892D31"/>
    <w:rsid w:val="008A6BF1"/>
    <w:rsid w:val="008A7E82"/>
    <w:rsid w:val="008B1F75"/>
    <w:rsid w:val="008B7FDF"/>
    <w:rsid w:val="008C0DC1"/>
    <w:rsid w:val="008D08CB"/>
    <w:rsid w:val="008D0DFD"/>
    <w:rsid w:val="008D20F9"/>
    <w:rsid w:val="008D50D3"/>
    <w:rsid w:val="008E0D70"/>
    <w:rsid w:val="008E1D10"/>
    <w:rsid w:val="008E48E8"/>
    <w:rsid w:val="008E754F"/>
    <w:rsid w:val="008F64AB"/>
    <w:rsid w:val="008F70D9"/>
    <w:rsid w:val="00906646"/>
    <w:rsid w:val="00906EDD"/>
    <w:rsid w:val="00921907"/>
    <w:rsid w:val="0093135C"/>
    <w:rsid w:val="0094441B"/>
    <w:rsid w:val="009A2273"/>
    <w:rsid w:val="009A2BB1"/>
    <w:rsid w:val="009A3F8D"/>
    <w:rsid w:val="009B5388"/>
    <w:rsid w:val="009B6352"/>
    <w:rsid w:val="009C5F76"/>
    <w:rsid w:val="009D0D65"/>
    <w:rsid w:val="009D1008"/>
    <w:rsid w:val="009D5941"/>
    <w:rsid w:val="009D619F"/>
    <w:rsid w:val="009D7AF2"/>
    <w:rsid w:val="009F57C3"/>
    <w:rsid w:val="009F58ED"/>
    <w:rsid w:val="009F5994"/>
    <w:rsid w:val="00A063F5"/>
    <w:rsid w:val="00A12F59"/>
    <w:rsid w:val="00A143E9"/>
    <w:rsid w:val="00A15A86"/>
    <w:rsid w:val="00A16328"/>
    <w:rsid w:val="00A17881"/>
    <w:rsid w:val="00A17F38"/>
    <w:rsid w:val="00A304DA"/>
    <w:rsid w:val="00A30AD4"/>
    <w:rsid w:val="00A411E2"/>
    <w:rsid w:val="00A42615"/>
    <w:rsid w:val="00A45B9C"/>
    <w:rsid w:val="00A47FBF"/>
    <w:rsid w:val="00A644EE"/>
    <w:rsid w:val="00A730A5"/>
    <w:rsid w:val="00A7602E"/>
    <w:rsid w:val="00A818FC"/>
    <w:rsid w:val="00A821CB"/>
    <w:rsid w:val="00A84E2A"/>
    <w:rsid w:val="00A87385"/>
    <w:rsid w:val="00A90372"/>
    <w:rsid w:val="00AB2D9F"/>
    <w:rsid w:val="00AB2F80"/>
    <w:rsid w:val="00AB50E1"/>
    <w:rsid w:val="00AB5F27"/>
    <w:rsid w:val="00AB6163"/>
    <w:rsid w:val="00AC6980"/>
    <w:rsid w:val="00AC7A0E"/>
    <w:rsid w:val="00AF3AD9"/>
    <w:rsid w:val="00B033CF"/>
    <w:rsid w:val="00B054D8"/>
    <w:rsid w:val="00B11056"/>
    <w:rsid w:val="00B16149"/>
    <w:rsid w:val="00B21B32"/>
    <w:rsid w:val="00B240EF"/>
    <w:rsid w:val="00B25A6C"/>
    <w:rsid w:val="00B26022"/>
    <w:rsid w:val="00B34389"/>
    <w:rsid w:val="00B37195"/>
    <w:rsid w:val="00B64CDE"/>
    <w:rsid w:val="00B654BC"/>
    <w:rsid w:val="00B705EF"/>
    <w:rsid w:val="00B765C1"/>
    <w:rsid w:val="00B90608"/>
    <w:rsid w:val="00B948C5"/>
    <w:rsid w:val="00BA0248"/>
    <w:rsid w:val="00BA1A9E"/>
    <w:rsid w:val="00BB0085"/>
    <w:rsid w:val="00BB141E"/>
    <w:rsid w:val="00BB2925"/>
    <w:rsid w:val="00BC21F9"/>
    <w:rsid w:val="00BD1D80"/>
    <w:rsid w:val="00BD234E"/>
    <w:rsid w:val="00BD5F46"/>
    <w:rsid w:val="00BE0A70"/>
    <w:rsid w:val="00BE4859"/>
    <w:rsid w:val="00C06D05"/>
    <w:rsid w:val="00C07A9D"/>
    <w:rsid w:val="00C15E4D"/>
    <w:rsid w:val="00C1743E"/>
    <w:rsid w:val="00C20253"/>
    <w:rsid w:val="00C27E98"/>
    <w:rsid w:val="00C303E5"/>
    <w:rsid w:val="00C3532E"/>
    <w:rsid w:val="00C438E5"/>
    <w:rsid w:val="00C45B76"/>
    <w:rsid w:val="00C46DEF"/>
    <w:rsid w:val="00C536CC"/>
    <w:rsid w:val="00C64BAE"/>
    <w:rsid w:val="00C75E6E"/>
    <w:rsid w:val="00C84D4D"/>
    <w:rsid w:val="00C9759B"/>
    <w:rsid w:val="00CB1378"/>
    <w:rsid w:val="00CC163B"/>
    <w:rsid w:val="00CD07AA"/>
    <w:rsid w:val="00CE0F9E"/>
    <w:rsid w:val="00CF0143"/>
    <w:rsid w:val="00CF7357"/>
    <w:rsid w:val="00D14B31"/>
    <w:rsid w:val="00D236B4"/>
    <w:rsid w:val="00D25E38"/>
    <w:rsid w:val="00D30672"/>
    <w:rsid w:val="00D31E6B"/>
    <w:rsid w:val="00D352C0"/>
    <w:rsid w:val="00D37F08"/>
    <w:rsid w:val="00D42B23"/>
    <w:rsid w:val="00D43452"/>
    <w:rsid w:val="00D45FCE"/>
    <w:rsid w:val="00D71E6E"/>
    <w:rsid w:val="00D846C6"/>
    <w:rsid w:val="00D86373"/>
    <w:rsid w:val="00D91B56"/>
    <w:rsid w:val="00D92734"/>
    <w:rsid w:val="00D9690E"/>
    <w:rsid w:val="00DA3248"/>
    <w:rsid w:val="00DA5826"/>
    <w:rsid w:val="00DB5D70"/>
    <w:rsid w:val="00DC3376"/>
    <w:rsid w:val="00DC3538"/>
    <w:rsid w:val="00DD6897"/>
    <w:rsid w:val="00DE5E8B"/>
    <w:rsid w:val="00DE7F3C"/>
    <w:rsid w:val="00DF2B42"/>
    <w:rsid w:val="00DF7845"/>
    <w:rsid w:val="00E008F0"/>
    <w:rsid w:val="00E01661"/>
    <w:rsid w:val="00E048A6"/>
    <w:rsid w:val="00E1481D"/>
    <w:rsid w:val="00E14E6C"/>
    <w:rsid w:val="00E159C1"/>
    <w:rsid w:val="00E20F0F"/>
    <w:rsid w:val="00E24D1C"/>
    <w:rsid w:val="00E346A1"/>
    <w:rsid w:val="00E414B6"/>
    <w:rsid w:val="00E4719F"/>
    <w:rsid w:val="00E507B1"/>
    <w:rsid w:val="00E52A3F"/>
    <w:rsid w:val="00E63826"/>
    <w:rsid w:val="00E659B9"/>
    <w:rsid w:val="00E66BA9"/>
    <w:rsid w:val="00E764BF"/>
    <w:rsid w:val="00E77886"/>
    <w:rsid w:val="00E81FAE"/>
    <w:rsid w:val="00E921F3"/>
    <w:rsid w:val="00EA5A0C"/>
    <w:rsid w:val="00EB4D01"/>
    <w:rsid w:val="00EB7E2E"/>
    <w:rsid w:val="00EC3B2D"/>
    <w:rsid w:val="00EC64C5"/>
    <w:rsid w:val="00ED407D"/>
    <w:rsid w:val="00EE33A1"/>
    <w:rsid w:val="00EE42C3"/>
    <w:rsid w:val="00EF1022"/>
    <w:rsid w:val="00F148EE"/>
    <w:rsid w:val="00F156C3"/>
    <w:rsid w:val="00F16A0C"/>
    <w:rsid w:val="00F2546E"/>
    <w:rsid w:val="00F25B4B"/>
    <w:rsid w:val="00F26C4D"/>
    <w:rsid w:val="00F33216"/>
    <w:rsid w:val="00F60AA8"/>
    <w:rsid w:val="00F64B88"/>
    <w:rsid w:val="00F70C7D"/>
    <w:rsid w:val="00F73953"/>
    <w:rsid w:val="00F744ED"/>
    <w:rsid w:val="00F74914"/>
    <w:rsid w:val="00F75AAC"/>
    <w:rsid w:val="00F8761F"/>
    <w:rsid w:val="00F93BC3"/>
    <w:rsid w:val="00F95D10"/>
    <w:rsid w:val="00FA04BC"/>
    <w:rsid w:val="00FA1CFA"/>
    <w:rsid w:val="00FA5AB1"/>
    <w:rsid w:val="00FA5C37"/>
    <w:rsid w:val="00FB7E4D"/>
    <w:rsid w:val="00FC72E6"/>
    <w:rsid w:val="00FE3AE8"/>
    <w:rsid w:val="00FE5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C4A"/>
    <w:rPr>
      <w:strike w:val="0"/>
      <w:dstrike w:val="0"/>
      <w:color w:val="222222"/>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2535622">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2">
          <w:marLeft w:val="0"/>
          <w:marRight w:val="0"/>
          <w:marTop w:val="0"/>
          <w:marBottom w:val="0"/>
          <w:divBdr>
            <w:top w:val="none" w:sz="0" w:space="0" w:color="auto"/>
            <w:left w:val="none" w:sz="0" w:space="0" w:color="auto"/>
            <w:bottom w:val="none" w:sz="0" w:space="0" w:color="auto"/>
            <w:right w:val="none" w:sz="0" w:space="0" w:color="auto"/>
          </w:divBdr>
        </w:div>
        <w:div w:id="1620137961">
          <w:marLeft w:val="0"/>
          <w:marRight w:val="0"/>
          <w:marTop w:val="0"/>
          <w:marBottom w:val="0"/>
          <w:divBdr>
            <w:top w:val="none" w:sz="0" w:space="0" w:color="auto"/>
            <w:left w:val="none" w:sz="0" w:space="0" w:color="auto"/>
            <w:bottom w:val="none" w:sz="0" w:space="0" w:color="auto"/>
            <w:right w:val="none" w:sz="0" w:space="0" w:color="auto"/>
          </w:divBdr>
        </w:div>
        <w:div w:id="540946110">
          <w:marLeft w:val="0"/>
          <w:marRight w:val="0"/>
          <w:marTop w:val="0"/>
          <w:marBottom w:val="0"/>
          <w:divBdr>
            <w:top w:val="none" w:sz="0" w:space="0" w:color="auto"/>
            <w:left w:val="none" w:sz="0" w:space="0" w:color="auto"/>
            <w:bottom w:val="none" w:sz="0" w:space="0" w:color="auto"/>
            <w:right w:val="none" w:sz="0" w:space="0" w:color="auto"/>
          </w:divBdr>
        </w:div>
        <w:div w:id="1066493594">
          <w:marLeft w:val="0"/>
          <w:marRight w:val="0"/>
          <w:marTop w:val="0"/>
          <w:marBottom w:val="0"/>
          <w:divBdr>
            <w:top w:val="none" w:sz="0" w:space="0" w:color="auto"/>
            <w:left w:val="none" w:sz="0" w:space="0" w:color="auto"/>
            <w:bottom w:val="none" w:sz="0" w:space="0" w:color="auto"/>
            <w:right w:val="none" w:sz="0" w:space="0" w:color="auto"/>
          </w:divBdr>
        </w:div>
        <w:div w:id="1008094593">
          <w:marLeft w:val="0"/>
          <w:marRight w:val="0"/>
          <w:marTop w:val="0"/>
          <w:marBottom w:val="0"/>
          <w:divBdr>
            <w:top w:val="none" w:sz="0" w:space="0" w:color="auto"/>
            <w:left w:val="none" w:sz="0" w:space="0" w:color="auto"/>
            <w:bottom w:val="none" w:sz="0" w:space="0" w:color="auto"/>
            <w:right w:val="none" w:sz="0" w:space="0" w:color="auto"/>
          </w:divBdr>
        </w:div>
        <w:div w:id="1650280189">
          <w:marLeft w:val="0"/>
          <w:marRight w:val="0"/>
          <w:marTop w:val="0"/>
          <w:marBottom w:val="0"/>
          <w:divBdr>
            <w:top w:val="none" w:sz="0" w:space="0" w:color="auto"/>
            <w:left w:val="none" w:sz="0" w:space="0" w:color="auto"/>
            <w:bottom w:val="none" w:sz="0" w:space="0" w:color="auto"/>
            <w:right w:val="none" w:sz="0" w:space="0" w:color="auto"/>
          </w:divBdr>
        </w:div>
        <w:div w:id="1652252977">
          <w:marLeft w:val="0"/>
          <w:marRight w:val="0"/>
          <w:marTop w:val="0"/>
          <w:marBottom w:val="0"/>
          <w:divBdr>
            <w:top w:val="none" w:sz="0" w:space="0" w:color="auto"/>
            <w:left w:val="none" w:sz="0" w:space="0" w:color="auto"/>
            <w:bottom w:val="none" w:sz="0" w:space="0" w:color="auto"/>
            <w:right w:val="none" w:sz="0" w:space="0" w:color="auto"/>
          </w:divBdr>
        </w:div>
        <w:div w:id="1170946803">
          <w:marLeft w:val="0"/>
          <w:marRight w:val="0"/>
          <w:marTop w:val="0"/>
          <w:marBottom w:val="0"/>
          <w:divBdr>
            <w:top w:val="none" w:sz="0" w:space="0" w:color="auto"/>
            <w:left w:val="none" w:sz="0" w:space="0" w:color="auto"/>
            <w:bottom w:val="none" w:sz="0" w:space="0" w:color="auto"/>
            <w:right w:val="none" w:sz="0" w:space="0" w:color="auto"/>
          </w:divBdr>
        </w:div>
        <w:div w:id="144049162">
          <w:marLeft w:val="0"/>
          <w:marRight w:val="0"/>
          <w:marTop w:val="0"/>
          <w:marBottom w:val="0"/>
          <w:divBdr>
            <w:top w:val="none" w:sz="0" w:space="0" w:color="auto"/>
            <w:left w:val="none" w:sz="0" w:space="0" w:color="auto"/>
            <w:bottom w:val="none" w:sz="0" w:space="0" w:color="auto"/>
            <w:right w:val="none" w:sz="0" w:space="0" w:color="auto"/>
          </w:divBdr>
        </w:div>
        <w:div w:id="2057192224">
          <w:marLeft w:val="0"/>
          <w:marRight w:val="0"/>
          <w:marTop w:val="0"/>
          <w:marBottom w:val="0"/>
          <w:divBdr>
            <w:top w:val="none" w:sz="0" w:space="0" w:color="auto"/>
            <w:left w:val="none" w:sz="0" w:space="0" w:color="auto"/>
            <w:bottom w:val="none" w:sz="0" w:space="0" w:color="auto"/>
            <w:right w:val="none" w:sz="0" w:space="0" w:color="auto"/>
          </w:divBdr>
        </w:div>
        <w:div w:id="1176770332">
          <w:marLeft w:val="0"/>
          <w:marRight w:val="0"/>
          <w:marTop w:val="0"/>
          <w:marBottom w:val="0"/>
          <w:divBdr>
            <w:top w:val="none" w:sz="0" w:space="0" w:color="auto"/>
            <w:left w:val="none" w:sz="0" w:space="0" w:color="auto"/>
            <w:bottom w:val="none" w:sz="0" w:space="0" w:color="auto"/>
            <w:right w:val="none" w:sz="0" w:space="0" w:color="auto"/>
          </w:divBdr>
        </w:div>
        <w:div w:id="698749073">
          <w:marLeft w:val="0"/>
          <w:marRight w:val="0"/>
          <w:marTop w:val="0"/>
          <w:marBottom w:val="0"/>
          <w:divBdr>
            <w:top w:val="none" w:sz="0" w:space="0" w:color="auto"/>
            <w:left w:val="none" w:sz="0" w:space="0" w:color="auto"/>
            <w:bottom w:val="none" w:sz="0" w:space="0" w:color="auto"/>
            <w:right w:val="none" w:sz="0" w:space="0" w:color="auto"/>
          </w:divBdr>
        </w:div>
        <w:div w:id="443426365">
          <w:marLeft w:val="0"/>
          <w:marRight w:val="0"/>
          <w:marTop w:val="0"/>
          <w:marBottom w:val="0"/>
          <w:divBdr>
            <w:top w:val="none" w:sz="0" w:space="0" w:color="auto"/>
            <w:left w:val="none" w:sz="0" w:space="0" w:color="auto"/>
            <w:bottom w:val="none" w:sz="0" w:space="0" w:color="auto"/>
            <w:right w:val="none" w:sz="0" w:space="0" w:color="auto"/>
          </w:divBdr>
        </w:div>
        <w:div w:id="142087144">
          <w:marLeft w:val="0"/>
          <w:marRight w:val="0"/>
          <w:marTop w:val="0"/>
          <w:marBottom w:val="0"/>
          <w:divBdr>
            <w:top w:val="none" w:sz="0" w:space="0" w:color="auto"/>
            <w:left w:val="none" w:sz="0" w:space="0" w:color="auto"/>
            <w:bottom w:val="none" w:sz="0" w:space="0" w:color="auto"/>
            <w:right w:val="none" w:sz="0" w:space="0" w:color="auto"/>
          </w:divBdr>
        </w:div>
        <w:div w:id="1028484294">
          <w:marLeft w:val="0"/>
          <w:marRight w:val="0"/>
          <w:marTop w:val="0"/>
          <w:marBottom w:val="0"/>
          <w:divBdr>
            <w:top w:val="none" w:sz="0" w:space="0" w:color="auto"/>
            <w:left w:val="none" w:sz="0" w:space="0" w:color="auto"/>
            <w:bottom w:val="none" w:sz="0" w:space="0" w:color="auto"/>
            <w:right w:val="none" w:sz="0" w:space="0" w:color="auto"/>
          </w:divBdr>
        </w:div>
        <w:div w:id="198394982">
          <w:marLeft w:val="0"/>
          <w:marRight w:val="0"/>
          <w:marTop w:val="0"/>
          <w:marBottom w:val="0"/>
          <w:divBdr>
            <w:top w:val="none" w:sz="0" w:space="0" w:color="auto"/>
            <w:left w:val="none" w:sz="0" w:space="0" w:color="auto"/>
            <w:bottom w:val="none" w:sz="0" w:space="0" w:color="auto"/>
            <w:right w:val="none" w:sz="0" w:space="0" w:color="auto"/>
          </w:divBdr>
        </w:div>
        <w:div w:id="200822488">
          <w:marLeft w:val="0"/>
          <w:marRight w:val="0"/>
          <w:marTop w:val="0"/>
          <w:marBottom w:val="0"/>
          <w:divBdr>
            <w:top w:val="none" w:sz="0" w:space="0" w:color="auto"/>
            <w:left w:val="none" w:sz="0" w:space="0" w:color="auto"/>
            <w:bottom w:val="none" w:sz="0" w:space="0" w:color="auto"/>
            <w:right w:val="none" w:sz="0" w:space="0" w:color="auto"/>
          </w:divBdr>
        </w:div>
        <w:div w:id="1446001869">
          <w:marLeft w:val="0"/>
          <w:marRight w:val="0"/>
          <w:marTop w:val="0"/>
          <w:marBottom w:val="0"/>
          <w:divBdr>
            <w:top w:val="none" w:sz="0" w:space="0" w:color="auto"/>
            <w:left w:val="none" w:sz="0" w:space="0" w:color="auto"/>
            <w:bottom w:val="none" w:sz="0" w:space="0" w:color="auto"/>
            <w:right w:val="none" w:sz="0" w:space="0" w:color="auto"/>
          </w:divBdr>
        </w:div>
        <w:div w:id="657730484">
          <w:marLeft w:val="0"/>
          <w:marRight w:val="0"/>
          <w:marTop w:val="0"/>
          <w:marBottom w:val="0"/>
          <w:divBdr>
            <w:top w:val="none" w:sz="0" w:space="0" w:color="auto"/>
            <w:left w:val="none" w:sz="0" w:space="0" w:color="auto"/>
            <w:bottom w:val="none" w:sz="0" w:space="0" w:color="auto"/>
            <w:right w:val="none" w:sz="0" w:space="0" w:color="auto"/>
          </w:divBdr>
        </w:div>
        <w:div w:id="848253936">
          <w:marLeft w:val="0"/>
          <w:marRight w:val="0"/>
          <w:marTop w:val="0"/>
          <w:marBottom w:val="0"/>
          <w:divBdr>
            <w:top w:val="none" w:sz="0" w:space="0" w:color="auto"/>
            <w:left w:val="none" w:sz="0" w:space="0" w:color="auto"/>
            <w:bottom w:val="none" w:sz="0" w:space="0" w:color="auto"/>
            <w:right w:val="none" w:sz="0" w:space="0" w:color="auto"/>
          </w:divBdr>
        </w:div>
        <w:div w:id="851456908">
          <w:marLeft w:val="0"/>
          <w:marRight w:val="0"/>
          <w:marTop w:val="0"/>
          <w:marBottom w:val="0"/>
          <w:divBdr>
            <w:top w:val="none" w:sz="0" w:space="0" w:color="auto"/>
            <w:left w:val="none" w:sz="0" w:space="0" w:color="auto"/>
            <w:bottom w:val="none" w:sz="0" w:space="0" w:color="auto"/>
            <w:right w:val="none" w:sz="0" w:space="0" w:color="auto"/>
          </w:divBdr>
        </w:div>
        <w:div w:id="506142891">
          <w:marLeft w:val="0"/>
          <w:marRight w:val="0"/>
          <w:marTop w:val="0"/>
          <w:marBottom w:val="0"/>
          <w:divBdr>
            <w:top w:val="none" w:sz="0" w:space="0" w:color="auto"/>
            <w:left w:val="none" w:sz="0" w:space="0" w:color="auto"/>
            <w:bottom w:val="none" w:sz="0" w:space="0" w:color="auto"/>
            <w:right w:val="none" w:sz="0" w:space="0" w:color="auto"/>
          </w:divBdr>
        </w:div>
        <w:div w:id="1463888656">
          <w:marLeft w:val="0"/>
          <w:marRight w:val="0"/>
          <w:marTop w:val="0"/>
          <w:marBottom w:val="0"/>
          <w:divBdr>
            <w:top w:val="none" w:sz="0" w:space="0" w:color="auto"/>
            <w:left w:val="none" w:sz="0" w:space="0" w:color="auto"/>
            <w:bottom w:val="none" w:sz="0" w:space="0" w:color="auto"/>
            <w:right w:val="none" w:sz="0" w:space="0" w:color="auto"/>
          </w:divBdr>
        </w:div>
        <w:div w:id="643126814">
          <w:marLeft w:val="0"/>
          <w:marRight w:val="0"/>
          <w:marTop w:val="0"/>
          <w:marBottom w:val="0"/>
          <w:divBdr>
            <w:top w:val="none" w:sz="0" w:space="0" w:color="auto"/>
            <w:left w:val="none" w:sz="0" w:space="0" w:color="auto"/>
            <w:bottom w:val="none" w:sz="0" w:space="0" w:color="auto"/>
            <w:right w:val="none" w:sz="0" w:space="0" w:color="auto"/>
          </w:divBdr>
        </w:div>
        <w:div w:id="1360736835">
          <w:marLeft w:val="0"/>
          <w:marRight w:val="0"/>
          <w:marTop w:val="0"/>
          <w:marBottom w:val="0"/>
          <w:divBdr>
            <w:top w:val="none" w:sz="0" w:space="0" w:color="auto"/>
            <w:left w:val="none" w:sz="0" w:space="0" w:color="auto"/>
            <w:bottom w:val="none" w:sz="0" w:space="0" w:color="auto"/>
            <w:right w:val="none" w:sz="0" w:space="0" w:color="auto"/>
          </w:divBdr>
        </w:div>
        <w:div w:id="1051198843">
          <w:marLeft w:val="0"/>
          <w:marRight w:val="0"/>
          <w:marTop w:val="0"/>
          <w:marBottom w:val="0"/>
          <w:divBdr>
            <w:top w:val="none" w:sz="0" w:space="0" w:color="auto"/>
            <w:left w:val="none" w:sz="0" w:space="0" w:color="auto"/>
            <w:bottom w:val="none" w:sz="0" w:space="0" w:color="auto"/>
            <w:right w:val="none" w:sz="0" w:space="0" w:color="auto"/>
          </w:divBdr>
        </w:div>
        <w:div w:id="1142189475">
          <w:marLeft w:val="0"/>
          <w:marRight w:val="0"/>
          <w:marTop w:val="0"/>
          <w:marBottom w:val="0"/>
          <w:divBdr>
            <w:top w:val="none" w:sz="0" w:space="0" w:color="auto"/>
            <w:left w:val="none" w:sz="0" w:space="0" w:color="auto"/>
            <w:bottom w:val="none" w:sz="0" w:space="0" w:color="auto"/>
            <w:right w:val="none" w:sz="0" w:space="0" w:color="auto"/>
          </w:divBdr>
        </w:div>
        <w:div w:id="1106077399">
          <w:marLeft w:val="0"/>
          <w:marRight w:val="0"/>
          <w:marTop w:val="0"/>
          <w:marBottom w:val="0"/>
          <w:divBdr>
            <w:top w:val="none" w:sz="0" w:space="0" w:color="auto"/>
            <w:left w:val="none" w:sz="0" w:space="0" w:color="auto"/>
            <w:bottom w:val="none" w:sz="0" w:space="0" w:color="auto"/>
            <w:right w:val="none" w:sz="0" w:space="0" w:color="auto"/>
          </w:divBdr>
        </w:div>
        <w:div w:id="1804303927">
          <w:marLeft w:val="0"/>
          <w:marRight w:val="0"/>
          <w:marTop w:val="0"/>
          <w:marBottom w:val="0"/>
          <w:divBdr>
            <w:top w:val="none" w:sz="0" w:space="0" w:color="auto"/>
            <w:left w:val="none" w:sz="0" w:space="0" w:color="auto"/>
            <w:bottom w:val="none" w:sz="0" w:space="0" w:color="auto"/>
            <w:right w:val="none" w:sz="0" w:space="0" w:color="auto"/>
          </w:divBdr>
        </w:div>
        <w:div w:id="631063267">
          <w:marLeft w:val="0"/>
          <w:marRight w:val="0"/>
          <w:marTop w:val="0"/>
          <w:marBottom w:val="0"/>
          <w:divBdr>
            <w:top w:val="none" w:sz="0" w:space="0" w:color="auto"/>
            <w:left w:val="none" w:sz="0" w:space="0" w:color="auto"/>
            <w:bottom w:val="none" w:sz="0" w:space="0" w:color="auto"/>
            <w:right w:val="none" w:sz="0" w:space="0" w:color="auto"/>
          </w:divBdr>
        </w:div>
        <w:div w:id="370425643">
          <w:marLeft w:val="0"/>
          <w:marRight w:val="0"/>
          <w:marTop w:val="0"/>
          <w:marBottom w:val="0"/>
          <w:divBdr>
            <w:top w:val="none" w:sz="0" w:space="0" w:color="auto"/>
            <w:left w:val="none" w:sz="0" w:space="0" w:color="auto"/>
            <w:bottom w:val="none" w:sz="0" w:space="0" w:color="auto"/>
            <w:right w:val="none" w:sz="0" w:space="0" w:color="auto"/>
          </w:divBdr>
        </w:div>
        <w:div w:id="1626234898">
          <w:marLeft w:val="0"/>
          <w:marRight w:val="0"/>
          <w:marTop w:val="0"/>
          <w:marBottom w:val="0"/>
          <w:divBdr>
            <w:top w:val="none" w:sz="0" w:space="0" w:color="auto"/>
            <w:left w:val="none" w:sz="0" w:space="0" w:color="auto"/>
            <w:bottom w:val="none" w:sz="0" w:space="0" w:color="auto"/>
            <w:right w:val="none" w:sz="0" w:space="0" w:color="auto"/>
          </w:divBdr>
        </w:div>
        <w:div w:id="1092778529">
          <w:marLeft w:val="0"/>
          <w:marRight w:val="0"/>
          <w:marTop w:val="0"/>
          <w:marBottom w:val="0"/>
          <w:divBdr>
            <w:top w:val="none" w:sz="0" w:space="0" w:color="auto"/>
            <w:left w:val="none" w:sz="0" w:space="0" w:color="auto"/>
            <w:bottom w:val="none" w:sz="0" w:space="0" w:color="auto"/>
            <w:right w:val="none" w:sz="0" w:space="0" w:color="auto"/>
          </w:divBdr>
        </w:div>
        <w:div w:id="1566139608">
          <w:marLeft w:val="0"/>
          <w:marRight w:val="0"/>
          <w:marTop w:val="0"/>
          <w:marBottom w:val="0"/>
          <w:divBdr>
            <w:top w:val="none" w:sz="0" w:space="0" w:color="auto"/>
            <w:left w:val="none" w:sz="0" w:space="0" w:color="auto"/>
            <w:bottom w:val="none" w:sz="0" w:space="0" w:color="auto"/>
            <w:right w:val="none" w:sz="0" w:space="0" w:color="auto"/>
          </w:divBdr>
        </w:div>
        <w:div w:id="1419012268">
          <w:marLeft w:val="0"/>
          <w:marRight w:val="0"/>
          <w:marTop w:val="0"/>
          <w:marBottom w:val="0"/>
          <w:divBdr>
            <w:top w:val="none" w:sz="0" w:space="0" w:color="auto"/>
            <w:left w:val="none" w:sz="0" w:space="0" w:color="auto"/>
            <w:bottom w:val="none" w:sz="0" w:space="0" w:color="auto"/>
            <w:right w:val="none" w:sz="0" w:space="0" w:color="auto"/>
          </w:divBdr>
        </w:div>
        <w:div w:id="768281073">
          <w:marLeft w:val="0"/>
          <w:marRight w:val="0"/>
          <w:marTop w:val="0"/>
          <w:marBottom w:val="0"/>
          <w:divBdr>
            <w:top w:val="none" w:sz="0" w:space="0" w:color="auto"/>
            <w:left w:val="none" w:sz="0" w:space="0" w:color="auto"/>
            <w:bottom w:val="none" w:sz="0" w:space="0" w:color="auto"/>
            <w:right w:val="none" w:sz="0" w:space="0" w:color="auto"/>
          </w:divBdr>
        </w:div>
        <w:div w:id="1950702075">
          <w:marLeft w:val="0"/>
          <w:marRight w:val="0"/>
          <w:marTop w:val="0"/>
          <w:marBottom w:val="0"/>
          <w:divBdr>
            <w:top w:val="none" w:sz="0" w:space="0" w:color="auto"/>
            <w:left w:val="none" w:sz="0" w:space="0" w:color="auto"/>
            <w:bottom w:val="none" w:sz="0" w:space="0" w:color="auto"/>
            <w:right w:val="none" w:sz="0" w:space="0" w:color="auto"/>
          </w:divBdr>
        </w:div>
        <w:div w:id="278268861">
          <w:marLeft w:val="0"/>
          <w:marRight w:val="0"/>
          <w:marTop w:val="0"/>
          <w:marBottom w:val="0"/>
          <w:divBdr>
            <w:top w:val="none" w:sz="0" w:space="0" w:color="auto"/>
            <w:left w:val="none" w:sz="0" w:space="0" w:color="auto"/>
            <w:bottom w:val="none" w:sz="0" w:space="0" w:color="auto"/>
            <w:right w:val="none" w:sz="0" w:space="0" w:color="auto"/>
          </w:divBdr>
        </w:div>
        <w:div w:id="1656764989">
          <w:marLeft w:val="0"/>
          <w:marRight w:val="0"/>
          <w:marTop w:val="0"/>
          <w:marBottom w:val="0"/>
          <w:divBdr>
            <w:top w:val="none" w:sz="0" w:space="0" w:color="auto"/>
            <w:left w:val="none" w:sz="0" w:space="0" w:color="auto"/>
            <w:bottom w:val="none" w:sz="0" w:space="0" w:color="auto"/>
            <w:right w:val="none" w:sz="0" w:space="0" w:color="auto"/>
          </w:divBdr>
        </w:div>
        <w:div w:id="1070813369">
          <w:marLeft w:val="0"/>
          <w:marRight w:val="0"/>
          <w:marTop w:val="0"/>
          <w:marBottom w:val="0"/>
          <w:divBdr>
            <w:top w:val="none" w:sz="0" w:space="0" w:color="auto"/>
            <w:left w:val="none" w:sz="0" w:space="0" w:color="auto"/>
            <w:bottom w:val="none" w:sz="0" w:space="0" w:color="auto"/>
            <w:right w:val="none" w:sz="0" w:space="0" w:color="auto"/>
          </w:divBdr>
        </w:div>
        <w:div w:id="1635408688">
          <w:marLeft w:val="0"/>
          <w:marRight w:val="0"/>
          <w:marTop w:val="0"/>
          <w:marBottom w:val="0"/>
          <w:divBdr>
            <w:top w:val="none" w:sz="0" w:space="0" w:color="auto"/>
            <w:left w:val="none" w:sz="0" w:space="0" w:color="auto"/>
            <w:bottom w:val="none" w:sz="0" w:space="0" w:color="auto"/>
            <w:right w:val="none" w:sz="0" w:space="0" w:color="auto"/>
          </w:divBdr>
        </w:div>
        <w:div w:id="1454669371">
          <w:marLeft w:val="0"/>
          <w:marRight w:val="0"/>
          <w:marTop w:val="0"/>
          <w:marBottom w:val="0"/>
          <w:divBdr>
            <w:top w:val="none" w:sz="0" w:space="0" w:color="auto"/>
            <w:left w:val="none" w:sz="0" w:space="0" w:color="auto"/>
            <w:bottom w:val="none" w:sz="0" w:space="0" w:color="auto"/>
            <w:right w:val="none" w:sz="0" w:space="0" w:color="auto"/>
          </w:divBdr>
        </w:div>
        <w:div w:id="142187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chinatax.gov.cn/guoshui/action/GetArticleView1.do?id=1432&amp;flag=1" TargetMode="External"/><Relationship Id="rId5" Type="http://schemas.openxmlformats.org/officeDocument/2006/relationships/hyperlink" Target="http://hd.chinatax.gov.cn/guoshui/action/GetArticleView1.do?id=1432&amp;flag=1" TargetMode="External"/><Relationship Id="rId4" Type="http://schemas.openxmlformats.org/officeDocument/2006/relationships/hyperlink" Target="http://hd.chinatax.gov.cn/guoshui/action/GetArticleView1.do?id=1432&amp;flag=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2013-08-30T02:30:00Z</dcterms:created>
  <dcterms:modified xsi:type="dcterms:W3CDTF">2013-08-30T02:32:00Z</dcterms:modified>
</cp:coreProperties>
</file>