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FF9" w:rsidRDefault="00284FF9" w:rsidP="00284FF9">
      <w:pPr>
        <w:widowControl/>
        <w:shd w:val="clear" w:color="auto" w:fill="F8FAFF"/>
        <w:spacing w:before="100" w:beforeAutospacing="1" w:after="100" w:afterAutospacing="1" w:line="600" w:lineRule="atLeast"/>
        <w:jc w:val="center"/>
        <w:outlineLvl w:val="1"/>
        <w:rPr>
          <w:rFonts w:ascii="宋体" w:eastAsia="宋体" w:hAnsi="宋体" w:cs="宋体" w:hint="eastAsia"/>
          <w:b/>
          <w:bCs/>
          <w:color w:val="000000"/>
          <w:kern w:val="36"/>
          <w:sz w:val="36"/>
          <w:szCs w:val="36"/>
        </w:rPr>
      </w:pPr>
      <w:r w:rsidRPr="00284FF9">
        <w:rPr>
          <w:rFonts w:ascii="宋体" w:eastAsia="宋体" w:hAnsi="宋体" w:cs="宋体" w:hint="eastAsia"/>
          <w:b/>
          <w:bCs/>
          <w:color w:val="000000"/>
          <w:kern w:val="36"/>
          <w:sz w:val="36"/>
          <w:szCs w:val="36"/>
        </w:rPr>
        <w:t xml:space="preserve">财政部 海关总署 国家税务总局 </w:t>
      </w:r>
    </w:p>
    <w:p w:rsidR="00284FF9" w:rsidRPr="00284FF9" w:rsidRDefault="00284FF9" w:rsidP="00284FF9">
      <w:pPr>
        <w:widowControl/>
        <w:shd w:val="clear" w:color="auto" w:fill="F8FAFF"/>
        <w:spacing w:before="100" w:beforeAutospacing="1" w:after="100" w:afterAutospacing="1" w:line="600" w:lineRule="atLeast"/>
        <w:jc w:val="center"/>
        <w:outlineLvl w:val="1"/>
        <w:rPr>
          <w:rFonts w:ascii="宋体" w:eastAsia="宋体" w:hAnsi="宋体" w:cs="宋体" w:hint="eastAsia"/>
          <w:b/>
          <w:bCs/>
          <w:color w:val="000000"/>
          <w:kern w:val="36"/>
          <w:sz w:val="36"/>
          <w:szCs w:val="36"/>
        </w:rPr>
      </w:pPr>
      <w:r w:rsidRPr="00284FF9">
        <w:rPr>
          <w:rFonts w:ascii="宋体" w:eastAsia="宋体" w:hAnsi="宋体" w:cs="宋体" w:hint="eastAsia"/>
          <w:b/>
          <w:bCs/>
          <w:color w:val="000000"/>
          <w:kern w:val="36"/>
          <w:sz w:val="36"/>
          <w:szCs w:val="36"/>
        </w:rPr>
        <w:t>财税〔2012〕66号</w:t>
      </w:r>
      <w:r w:rsidRPr="00284FF9">
        <w:rPr>
          <w:rFonts w:ascii="宋体" w:eastAsia="宋体" w:hAnsi="宋体" w:cs="宋体" w:hint="eastAsia"/>
          <w:color w:val="000000"/>
          <w:kern w:val="0"/>
          <w:szCs w:val="21"/>
        </w:rPr>
        <w:br/>
        <w:t>      财政部海关总署国家税务总局关于在天津东疆保税港区试行融资租赁货物出口退税政策的通知</w:t>
      </w:r>
    </w:p>
    <w:p w:rsidR="00284FF9" w:rsidRPr="00284FF9" w:rsidRDefault="00284FF9" w:rsidP="00284FF9">
      <w:pPr>
        <w:widowControl/>
        <w:shd w:val="clear" w:color="auto" w:fill="F8FAFF"/>
        <w:spacing w:line="480" w:lineRule="auto"/>
        <w:jc w:val="left"/>
        <w:rPr>
          <w:rFonts w:ascii="宋体" w:eastAsia="宋体" w:hAnsi="宋体" w:cs="宋体" w:hint="eastAsia"/>
          <w:color w:val="000000"/>
          <w:kern w:val="0"/>
          <w:szCs w:val="21"/>
        </w:rPr>
      </w:pPr>
      <w:r w:rsidRPr="00284FF9">
        <w:rPr>
          <w:rFonts w:ascii="宋体" w:eastAsia="宋体" w:hAnsi="宋体" w:cs="宋体" w:hint="eastAsia"/>
          <w:color w:val="000000"/>
          <w:kern w:val="0"/>
          <w:szCs w:val="21"/>
        </w:rPr>
        <w:t>天津市财政局、天津海关、天津市国家税务局:</w:t>
      </w:r>
      <w:r w:rsidRPr="00284FF9">
        <w:rPr>
          <w:rFonts w:ascii="宋体" w:eastAsia="宋体" w:hAnsi="宋体" w:cs="宋体" w:hint="eastAsia"/>
          <w:color w:val="000000"/>
          <w:kern w:val="0"/>
          <w:szCs w:val="21"/>
        </w:rPr>
        <w:br/>
        <w:t>     根据《国务院关于天津北方国际航运中心核心功能区建设方案的批复》(国函</w:t>
      </w:r>
      <w:proofErr w:type="gramStart"/>
      <w:r w:rsidRPr="00284FF9">
        <w:rPr>
          <w:rFonts w:ascii="宋体" w:eastAsia="宋体" w:hAnsi="宋体" w:cs="宋体" w:hint="eastAsia"/>
          <w:color w:val="000000"/>
          <w:kern w:val="0"/>
          <w:szCs w:val="21"/>
        </w:rPr>
        <w:t>〔</w:t>
      </w:r>
      <w:proofErr w:type="gramEnd"/>
      <w:r w:rsidRPr="00284FF9">
        <w:rPr>
          <w:rFonts w:ascii="宋体" w:eastAsia="宋体" w:hAnsi="宋体" w:cs="宋体" w:hint="eastAsia"/>
          <w:color w:val="000000"/>
          <w:kern w:val="0"/>
          <w:szCs w:val="21"/>
        </w:rPr>
        <w:t>2011) 51号)的规定，决定在天津东疆保税港区试行融资租赁货物出口退税政策。现将有关事项通知如下:</w:t>
      </w:r>
      <w:r w:rsidRPr="00284FF9">
        <w:rPr>
          <w:rFonts w:ascii="宋体" w:eastAsia="宋体" w:hAnsi="宋体" w:cs="宋体" w:hint="eastAsia"/>
          <w:color w:val="000000"/>
          <w:kern w:val="0"/>
          <w:szCs w:val="21"/>
        </w:rPr>
        <w:br/>
        <w:t>     一、政策内容及适用范围</w:t>
      </w:r>
      <w:r w:rsidRPr="00284FF9">
        <w:rPr>
          <w:rFonts w:ascii="宋体" w:eastAsia="宋体" w:hAnsi="宋体" w:cs="宋体" w:hint="eastAsia"/>
          <w:color w:val="000000"/>
          <w:kern w:val="0"/>
          <w:szCs w:val="21"/>
        </w:rPr>
        <w:br/>
        <w:t>    (一)对融资租赁出口货物试行退税政策。对在天津东疆保税港区注册的融资租赁企业或金融租赁公司在天津东疆保税港区设立的项目子公司(以下统称融资租赁出租方)，以融资租赁方式租赁给境外承租人且租赁期限在5年(含)以上，并向天津境内口岸海关报关出口的货物，试行增值税、消费税出口退税政策。</w:t>
      </w:r>
    </w:p>
    <w:p w:rsidR="00284FF9" w:rsidRPr="00284FF9" w:rsidRDefault="00284FF9" w:rsidP="00284FF9">
      <w:pPr>
        <w:widowControl/>
        <w:shd w:val="clear" w:color="auto" w:fill="F8FAFF"/>
        <w:spacing w:line="480" w:lineRule="auto"/>
        <w:jc w:val="left"/>
        <w:rPr>
          <w:rFonts w:ascii="宋体" w:eastAsia="宋体" w:hAnsi="宋体" w:cs="宋体" w:hint="eastAsia"/>
          <w:color w:val="000000"/>
          <w:kern w:val="0"/>
          <w:szCs w:val="21"/>
        </w:rPr>
      </w:pPr>
      <w:r w:rsidRPr="00284FF9">
        <w:rPr>
          <w:rFonts w:ascii="宋体" w:eastAsia="宋体" w:hAnsi="宋体" w:cs="宋体" w:hint="eastAsia"/>
          <w:color w:val="000000"/>
          <w:kern w:val="0"/>
          <w:szCs w:val="21"/>
        </w:rPr>
        <w:t>    融资租赁出口货物的范围，包括飞机、飞机发动机、铁道机车、铁道客车车厢、船舶及其他货物，具体应符合《中华人民共和国增值税暂行条例实施细则》(财政部国家税务总局令第50号)第二十一条“固定资产”的相关规定。</w:t>
      </w:r>
      <w:r w:rsidRPr="00284FF9">
        <w:rPr>
          <w:rFonts w:ascii="宋体" w:eastAsia="宋体" w:hAnsi="宋体" w:cs="宋体" w:hint="eastAsia"/>
          <w:color w:val="000000"/>
          <w:kern w:val="0"/>
          <w:szCs w:val="21"/>
        </w:rPr>
        <w:br/>
        <w:t>    (二)对融资租赁海洋工程结构物试行退税政策。对融资租赁出租方向国内生产企业购买，并以融资租赁方式租赁给境内列名海上石油天然气开采企业且租赁期限在5年(含)以上的海洋工程结构物，视同出口，试行增值税、消费税出口退税政策。</w:t>
      </w:r>
    </w:p>
    <w:p w:rsidR="00284FF9" w:rsidRPr="00284FF9" w:rsidRDefault="00284FF9" w:rsidP="00284FF9">
      <w:pPr>
        <w:widowControl/>
        <w:shd w:val="clear" w:color="auto" w:fill="F8FAFF"/>
        <w:spacing w:line="480" w:lineRule="auto"/>
        <w:jc w:val="left"/>
        <w:rPr>
          <w:rFonts w:ascii="宋体" w:eastAsia="宋体" w:hAnsi="宋体" w:cs="宋体" w:hint="eastAsia"/>
          <w:color w:val="000000"/>
          <w:kern w:val="0"/>
          <w:szCs w:val="21"/>
        </w:rPr>
      </w:pPr>
      <w:r w:rsidRPr="00284FF9">
        <w:rPr>
          <w:rFonts w:ascii="宋体" w:eastAsia="宋体" w:hAnsi="宋体" w:cs="宋体" w:hint="eastAsia"/>
          <w:color w:val="000000"/>
          <w:kern w:val="0"/>
          <w:szCs w:val="21"/>
        </w:rPr>
        <w:t>    海洋工程结构物范围、退税率以及海上石油天然气开采企业的具体范围按照《财政部国家税务总局关于出口货物劳务增值税和消费税政策的通知》(财税C 2012 D 39号)有关规定</w:t>
      </w:r>
      <w:r w:rsidRPr="00284FF9">
        <w:rPr>
          <w:rFonts w:ascii="宋体" w:eastAsia="宋体" w:hAnsi="宋体" w:cs="宋体" w:hint="eastAsia"/>
          <w:color w:val="000000"/>
          <w:kern w:val="0"/>
          <w:szCs w:val="21"/>
        </w:rPr>
        <w:lastRenderedPageBreak/>
        <w:t>执行。</w:t>
      </w:r>
      <w:r w:rsidRPr="00284FF9">
        <w:rPr>
          <w:rFonts w:ascii="宋体" w:eastAsia="宋体" w:hAnsi="宋体" w:cs="宋体" w:hint="eastAsia"/>
          <w:color w:val="000000"/>
          <w:kern w:val="0"/>
          <w:szCs w:val="21"/>
        </w:rPr>
        <w:br/>
        <w:t>    (三)上述融资租赁出口货物和融资租赁海洋工程结构物不包括在海关监管年限内的进口减免税货物，不包括从区外进入天津东疆保税港区的原进口货物。</w:t>
      </w:r>
      <w:r w:rsidRPr="00284FF9">
        <w:rPr>
          <w:rFonts w:ascii="宋体" w:eastAsia="宋体" w:hAnsi="宋体" w:cs="宋体" w:hint="eastAsia"/>
          <w:color w:val="000000"/>
          <w:kern w:val="0"/>
          <w:szCs w:val="21"/>
        </w:rPr>
        <w:br/>
        <w:t>     二、退税的计算和办理</w:t>
      </w:r>
      <w:r w:rsidRPr="00284FF9">
        <w:rPr>
          <w:rFonts w:ascii="宋体" w:eastAsia="宋体" w:hAnsi="宋体" w:cs="宋体" w:hint="eastAsia"/>
          <w:color w:val="000000"/>
          <w:kern w:val="0"/>
          <w:szCs w:val="21"/>
        </w:rPr>
        <w:br/>
        <w:t>    (</w:t>
      </w:r>
      <w:proofErr w:type="gramStart"/>
      <w:r w:rsidRPr="00284FF9">
        <w:rPr>
          <w:rFonts w:ascii="宋体" w:eastAsia="宋体" w:hAnsi="宋体" w:cs="宋体" w:hint="eastAsia"/>
          <w:color w:val="000000"/>
          <w:kern w:val="0"/>
          <w:szCs w:val="21"/>
        </w:rPr>
        <w:t>一</w:t>
      </w:r>
      <w:proofErr w:type="gramEnd"/>
      <w:r w:rsidRPr="00284FF9">
        <w:rPr>
          <w:rFonts w:ascii="宋体" w:eastAsia="宋体" w:hAnsi="宋体" w:cs="宋体" w:hint="eastAsia"/>
          <w:color w:val="000000"/>
          <w:kern w:val="0"/>
          <w:szCs w:val="21"/>
        </w:rPr>
        <w:t>)融资租赁出租方将融资租赁出口货物租赁给境外承租方、将融资租赁海洋工程结构物租赁给海上石油天然气开采企</w:t>
      </w:r>
      <w:proofErr w:type="gramStart"/>
      <w:r w:rsidRPr="00284FF9">
        <w:rPr>
          <w:rFonts w:ascii="宋体" w:eastAsia="宋体" w:hAnsi="宋体" w:cs="宋体" w:hint="eastAsia"/>
          <w:color w:val="000000"/>
          <w:kern w:val="0"/>
          <w:szCs w:val="21"/>
        </w:rPr>
        <w:t>一</w:t>
      </w:r>
      <w:proofErr w:type="gramEnd"/>
      <w:r w:rsidRPr="00284FF9">
        <w:rPr>
          <w:rFonts w:ascii="宋体" w:eastAsia="宋体" w:hAnsi="宋体" w:cs="宋体" w:hint="eastAsia"/>
          <w:color w:val="000000"/>
          <w:kern w:val="0"/>
          <w:szCs w:val="21"/>
        </w:rPr>
        <w:t>业，向融资租赁出租方退还其购进租赁货物所含增值税。融资租赁出口货物、融资租赁海洋工程结构物(以下统称融资租赁货物)属于消费税应税消费品的，向融资租赁出租方退还前一环节已征的消费税。</w:t>
      </w:r>
      <w:r w:rsidRPr="00284FF9">
        <w:rPr>
          <w:rFonts w:ascii="宋体" w:eastAsia="宋体" w:hAnsi="宋体" w:cs="宋体" w:hint="eastAsia"/>
          <w:color w:val="000000"/>
          <w:kern w:val="0"/>
          <w:szCs w:val="21"/>
        </w:rPr>
        <w:br/>
        <w:t>    (二)计算公式为:增值税应退税额=购进融资租赁货物的增值税专用发票注明的金额或海关(进口增值税)专用缴款书注明的完税价格x融资租赁货物适用的增值税退税率</w:t>
      </w:r>
    </w:p>
    <w:p w:rsidR="00284FF9" w:rsidRPr="00284FF9" w:rsidRDefault="00284FF9" w:rsidP="00284FF9">
      <w:pPr>
        <w:widowControl/>
        <w:shd w:val="clear" w:color="auto" w:fill="F8FAFF"/>
        <w:spacing w:line="480" w:lineRule="auto"/>
        <w:jc w:val="left"/>
        <w:rPr>
          <w:rFonts w:ascii="宋体" w:eastAsia="宋体" w:hAnsi="宋体" w:cs="宋体" w:hint="eastAsia"/>
          <w:color w:val="000000"/>
          <w:kern w:val="0"/>
          <w:szCs w:val="21"/>
        </w:rPr>
      </w:pPr>
      <w:r w:rsidRPr="00284FF9">
        <w:rPr>
          <w:rFonts w:ascii="宋体" w:eastAsia="宋体" w:hAnsi="宋体" w:cs="宋体" w:hint="eastAsia"/>
          <w:color w:val="000000"/>
          <w:kern w:val="0"/>
          <w:szCs w:val="21"/>
        </w:rPr>
        <w:t>    融资租赁出口货物适用的增值税退税率，按照统一的出口货物适用退税率执行。</w:t>
      </w:r>
    </w:p>
    <w:p w:rsidR="00284FF9" w:rsidRPr="00284FF9" w:rsidRDefault="00284FF9" w:rsidP="00284FF9">
      <w:pPr>
        <w:widowControl/>
        <w:shd w:val="clear" w:color="auto" w:fill="F8FAFF"/>
        <w:spacing w:line="480" w:lineRule="auto"/>
        <w:jc w:val="left"/>
        <w:rPr>
          <w:rFonts w:ascii="宋体" w:eastAsia="宋体" w:hAnsi="宋体" w:cs="宋体" w:hint="eastAsia"/>
          <w:color w:val="000000"/>
          <w:kern w:val="0"/>
          <w:szCs w:val="21"/>
        </w:rPr>
      </w:pPr>
      <w:r w:rsidRPr="00284FF9">
        <w:rPr>
          <w:rFonts w:ascii="宋体" w:eastAsia="宋体" w:hAnsi="宋体" w:cs="宋体" w:hint="eastAsia"/>
          <w:color w:val="000000"/>
          <w:kern w:val="0"/>
          <w:szCs w:val="21"/>
        </w:rPr>
        <w:t>    消费税应退税额=购进融资租赁货物税收(出口货物专用)缴款书上或海关进口消费税专用缴款书上注明的消费税税额</w:t>
      </w:r>
      <w:r w:rsidRPr="00284FF9">
        <w:rPr>
          <w:rFonts w:ascii="宋体" w:eastAsia="宋体" w:hAnsi="宋体" w:cs="宋体" w:hint="eastAsia"/>
          <w:color w:val="000000"/>
          <w:kern w:val="0"/>
          <w:szCs w:val="21"/>
        </w:rPr>
        <w:br/>
        <w:t>    (三)融资租赁出租方应当按照主管税务机关的要求办理退税认定和申报增值税、消费税退税。</w:t>
      </w:r>
      <w:r w:rsidRPr="00284FF9">
        <w:rPr>
          <w:rFonts w:ascii="宋体" w:eastAsia="宋体" w:hAnsi="宋体" w:cs="宋体" w:hint="eastAsia"/>
          <w:color w:val="000000"/>
          <w:kern w:val="0"/>
          <w:szCs w:val="21"/>
        </w:rPr>
        <w:br/>
        <w:t>    (四)融资租赁出租方在进行融资租赁出口货物报关时，应在海关出口报关单上填写“租赁货物(1523 )"方式。海关依融资租赁出租方申请，对符合条件的融资租赁出口货物办理放行手续后签发出口货物报关单(出口退税专用，以下称退税证明联)，并按规定向国家税务总局传递退税证明</w:t>
      </w:r>
      <w:proofErr w:type="gramStart"/>
      <w:r w:rsidRPr="00284FF9">
        <w:rPr>
          <w:rFonts w:ascii="宋体" w:eastAsia="宋体" w:hAnsi="宋体" w:cs="宋体" w:hint="eastAsia"/>
          <w:color w:val="000000"/>
          <w:kern w:val="0"/>
          <w:szCs w:val="21"/>
        </w:rPr>
        <w:t>联相关</w:t>
      </w:r>
      <w:proofErr w:type="gramEnd"/>
      <w:r w:rsidRPr="00284FF9">
        <w:rPr>
          <w:rFonts w:ascii="宋体" w:eastAsia="宋体" w:hAnsi="宋体" w:cs="宋体" w:hint="eastAsia"/>
          <w:color w:val="000000"/>
          <w:kern w:val="0"/>
          <w:szCs w:val="21"/>
        </w:rPr>
        <w:t>电子信息。</w:t>
      </w:r>
      <w:r w:rsidRPr="00284FF9">
        <w:rPr>
          <w:rFonts w:ascii="宋体" w:eastAsia="宋体" w:hAnsi="宋体" w:cs="宋体" w:hint="eastAsia"/>
          <w:color w:val="000000"/>
          <w:kern w:val="0"/>
          <w:szCs w:val="21"/>
        </w:rPr>
        <w:br/>
        <w:t>    (五)融资租赁出租方凭购进融资租赁货物的增值税专用发票或海关进口增值税专用缴款书、与承租人签订的融资租赁合同、退税证明联(融资租赁海洋工程结构物退税免予提供)、向海洋工程结构物承租人开具的发票以及主管税务机关要求出具的其他要件，向主管税务机</w:t>
      </w:r>
      <w:r w:rsidRPr="00284FF9">
        <w:rPr>
          <w:rFonts w:ascii="宋体" w:eastAsia="宋体" w:hAnsi="宋体" w:cs="宋体" w:hint="eastAsia"/>
          <w:color w:val="000000"/>
          <w:kern w:val="0"/>
          <w:szCs w:val="21"/>
        </w:rPr>
        <w:lastRenderedPageBreak/>
        <w:t>关申请办理退税手续。上述用于融资租赁货物退税的增值税专用发票或海关进口增值税专用缴款书，不得用于抵扣内销货物应纳税额。</w:t>
      </w:r>
    </w:p>
    <w:p w:rsidR="00284FF9" w:rsidRPr="00284FF9" w:rsidRDefault="00284FF9" w:rsidP="00284FF9">
      <w:pPr>
        <w:widowControl/>
        <w:shd w:val="clear" w:color="auto" w:fill="F8FAFF"/>
        <w:spacing w:line="480" w:lineRule="auto"/>
        <w:jc w:val="left"/>
        <w:rPr>
          <w:rFonts w:ascii="宋体" w:eastAsia="宋体" w:hAnsi="宋体" w:cs="宋体" w:hint="eastAsia"/>
          <w:color w:val="000000"/>
          <w:kern w:val="0"/>
          <w:szCs w:val="21"/>
        </w:rPr>
      </w:pPr>
      <w:r w:rsidRPr="00284FF9">
        <w:rPr>
          <w:rFonts w:ascii="宋体" w:eastAsia="宋体" w:hAnsi="宋体" w:cs="宋体" w:hint="eastAsia"/>
          <w:color w:val="000000"/>
          <w:kern w:val="0"/>
          <w:szCs w:val="21"/>
        </w:rPr>
        <w:t>    融资租赁货物属于消费税应税货物的，</w:t>
      </w:r>
      <w:proofErr w:type="gramStart"/>
      <w:r w:rsidRPr="00284FF9">
        <w:rPr>
          <w:rFonts w:ascii="宋体" w:eastAsia="宋体" w:hAnsi="宋体" w:cs="宋体" w:hint="eastAsia"/>
          <w:color w:val="000000"/>
          <w:kern w:val="0"/>
          <w:szCs w:val="21"/>
        </w:rPr>
        <w:t>若申请</w:t>
      </w:r>
      <w:proofErr w:type="gramEnd"/>
      <w:r w:rsidRPr="00284FF9">
        <w:rPr>
          <w:rFonts w:ascii="宋体" w:eastAsia="宋体" w:hAnsi="宋体" w:cs="宋体" w:hint="eastAsia"/>
          <w:color w:val="000000"/>
          <w:kern w:val="0"/>
          <w:szCs w:val="21"/>
        </w:rPr>
        <w:t>退税，还应提供有关消费税专用缴款书。</w:t>
      </w:r>
      <w:r w:rsidRPr="00284FF9">
        <w:rPr>
          <w:rFonts w:ascii="宋体" w:eastAsia="宋体" w:hAnsi="宋体" w:cs="宋体" w:hint="eastAsia"/>
          <w:color w:val="000000"/>
          <w:kern w:val="0"/>
          <w:szCs w:val="21"/>
        </w:rPr>
        <w:br/>
        <w:t>    (六)对承租期未满而发生退租的融资租赁货物，融资租赁出租方应及时主动向税务机关报告，并按照规定补缴已退税款。对融资租赁出口货物，再</w:t>
      </w:r>
      <w:proofErr w:type="gramStart"/>
      <w:r w:rsidRPr="00284FF9">
        <w:rPr>
          <w:rFonts w:ascii="宋体" w:eastAsia="宋体" w:hAnsi="宋体" w:cs="宋体" w:hint="eastAsia"/>
          <w:color w:val="000000"/>
          <w:kern w:val="0"/>
          <w:szCs w:val="21"/>
        </w:rPr>
        <w:t>复进口</w:t>
      </w:r>
      <w:proofErr w:type="gramEnd"/>
      <w:r w:rsidRPr="00284FF9">
        <w:rPr>
          <w:rFonts w:ascii="宋体" w:eastAsia="宋体" w:hAnsi="宋体" w:cs="宋体" w:hint="eastAsia"/>
          <w:color w:val="000000"/>
          <w:kern w:val="0"/>
          <w:szCs w:val="21"/>
        </w:rPr>
        <w:t>时融资租赁出租方应按照规定向海关办理复运进境手续并提供主管税务机关出具的货物已补税或未退税证明，海关不征收进口关税和进口环节税。</w:t>
      </w:r>
      <w:r w:rsidRPr="00284FF9">
        <w:rPr>
          <w:rFonts w:ascii="宋体" w:eastAsia="宋体" w:hAnsi="宋体" w:cs="宋体" w:hint="eastAsia"/>
          <w:color w:val="000000"/>
          <w:kern w:val="0"/>
          <w:szCs w:val="21"/>
        </w:rPr>
        <w:br/>
        <w:t>    三、有关定义</w:t>
      </w:r>
      <w:r w:rsidRPr="00284FF9">
        <w:rPr>
          <w:rFonts w:ascii="宋体" w:eastAsia="宋体" w:hAnsi="宋体" w:cs="宋体" w:hint="eastAsia"/>
          <w:color w:val="000000"/>
          <w:kern w:val="0"/>
          <w:szCs w:val="21"/>
        </w:rPr>
        <w:br/>
        <w:t>    本通知所述融资租赁企业，仅包括金融租赁公司、经商务部批准设立的外商投资融资租赁公司以及经商务部和国家税务总局共同批准开展融资业务试点的内资融资租赁企业。</w:t>
      </w:r>
    </w:p>
    <w:p w:rsidR="00284FF9" w:rsidRPr="00284FF9" w:rsidRDefault="00284FF9" w:rsidP="00284FF9">
      <w:pPr>
        <w:widowControl/>
        <w:shd w:val="clear" w:color="auto" w:fill="F8FAFF"/>
        <w:spacing w:line="480" w:lineRule="auto"/>
        <w:jc w:val="left"/>
        <w:rPr>
          <w:rFonts w:ascii="宋体" w:eastAsia="宋体" w:hAnsi="宋体" w:cs="宋体" w:hint="eastAsia"/>
          <w:color w:val="000000"/>
          <w:kern w:val="0"/>
          <w:szCs w:val="21"/>
        </w:rPr>
      </w:pPr>
      <w:r w:rsidRPr="00284FF9">
        <w:rPr>
          <w:rFonts w:ascii="宋体" w:eastAsia="宋体" w:hAnsi="宋体" w:cs="宋体" w:hint="eastAsia"/>
          <w:color w:val="000000"/>
          <w:kern w:val="0"/>
          <w:szCs w:val="21"/>
        </w:rPr>
        <w:t>    本通知所述金融租赁公司，仅包括经中国银行业监督管理委员会批准设立的金融租赁公司。</w:t>
      </w:r>
    </w:p>
    <w:p w:rsidR="00284FF9" w:rsidRPr="00284FF9" w:rsidRDefault="00284FF9" w:rsidP="00284FF9">
      <w:pPr>
        <w:widowControl/>
        <w:shd w:val="clear" w:color="auto" w:fill="F8FAFF"/>
        <w:spacing w:line="480" w:lineRule="auto"/>
        <w:jc w:val="left"/>
        <w:rPr>
          <w:rFonts w:ascii="宋体" w:eastAsia="宋体" w:hAnsi="宋体" w:cs="宋体" w:hint="eastAsia"/>
          <w:color w:val="000000"/>
          <w:kern w:val="0"/>
          <w:szCs w:val="21"/>
        </w:rPr>
      </w:pPr>
      <w:r w:rsidRPr="00284FF9">
        <w:rPr>
          <w:rFonts w:ascii="宋体" w:eastAsia="宋体" w:hAnsi="宋体" w:cs="宋体" w:hint="eastAsia"/>
          <w:color w:val="000000"/>
          <w:kern w:val="0"/>
          <w:szCs w:val="21"/>
        </w:rPr>
        <w:t>    本通知所称融资租赁，是指融资租赁出租方根据承租人(单位或个人)对租赁物和供货人的选择或认可，将其从供货人取得的租赁物按合同约定出租给承租人占有、使用，向承租人收取租金的交易活动。</w:t>
      </w:r>
      <w:r w:rsidRPr="00284FF9">
        <w:rPr>
          <w:rFonts w:ascii="宋体" w:eastAsia="宋体" w:hAnsi="宋体" w:cs="宋体" w:hint="eastAsia"/>
          <w:color w:val="000000"/>
          <w:kern w:val="0"/>
          <w:szCs w:val="21"/>
        </w:rPr>
        <w:br/>
        <w:t>    四、融资租赁货物退税的具体管理办法由国家税务总局另行制定。</w:t>
      </w:r>
      <w:r w:rsidRPr="00284FF9">
        <w:rPr>
          <w:rFonts w:ascii="宋体" w:eastAsia="宋体" w:hAnsi="宋体" w:cs="宋体" w:hint="eastAsia"/>
          <w:color w:val="000000"/>
          <w:kern w:val="0"/>
          <w:szCs w:val="21"/>
        </w:rPr>
        <w:br/>
        <w:t>    五、本通知自2012年7月1日起执行。融资租赁出口货物的，以退税证明联上注明的出口日期为准;融资租赁海洋工程结构物的，以融资租赁出租方开具的发票日期为准。</w:t>
      </w:r>
      <w:r w:rsidRPr="00284FF9">
        <w:rPr>
          <w:rFonts w:ascii="宋体" w:eastAsia="宋体" w:hAnsi="宋体" w:cs="宋体" w:hint="eastAsia"/>
          <w:color w:val="000000"/>
          <w:kern w:val="0"/>
          <w:szCs w:val="21"/>
        </w:rPr>
        <w:br/>
      </w:r>
      <w:r w:rsidRPr="00284FF9">
        <w:rPr>
          <w:rFonts w:ascii="宋体" w:eastAsia="宋体" w:hAnsi="宋体" w:cs="宋体" w:hint="eastAsia"/>
          <w:color w:val="000000"/>
          <w:kern w:val="0"/>
          <w:szCs w:val="21"/>
        </w:rPr>
        <w:br/>
        <w:t xml:space="preserve">                                                  中华人民共和国财政部   中华人民共和国海关总署    国家税务总局 </w:t>
      </w:r>
    </w:p>
    <w:p w:rsidR="00852372" w:rsidRPr="00284FF9" w:rsidRDefault="00284FF9" w:rsidP="00284FF9">
      <w:pPr>
        <w:widowControl/>
        <w:shd w:val="clear" w:color="auto" w:fill="F8FAFF"/>
        <w:spacing w:line="480" w:lineRule="auto"/>
        <w:jc w:val="left"/>
        <w:rPr>
          <w:rFonts w:ascii="宋体" w:eastAsia="宋体" w:hAnsi="宋体" w:cs="宋体" w:hint="eastAsia"/>
          <w:color w:val="000000"/>
          <w:kern w:val="0"/>
          <w:szCs w:val="21"/>
        </w:rPr>
      </w:pPr>
      <w:r w:rsidRPr="00284FF9">
        <w:rPr>
          <w:rFonts w:ascii="宋体" w:eastAsia="宋体" w:hAnsi="宋体" w:cs="宋体" w:hint="eastAsia"/>
          <w:color w:val="000000"/>
          <w:kern w:val="0"/>
          <w:szCs w:val="21"/>
        </w:rPr>
        <w:t>2012年7月26日</w:t>
      </w:r>
      <w:bookmarkStart w:id="0" w:name="_GoBack"/>
      <w:bookmarkEnd w:id="0"/>
    </w:p>
    <w:sectPr w:rsidR="00852372" w:rsidRPr="00284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68D"/>
    <w:rsid w:val="00284FF9"/>
    <w:rsid w:val="003C768D"/>
    <w:rsid w:val="0085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314419">
      <w:bodyDiv w:val="1"/>
      <w:marLeft w:val="0"/>
      <w:marRight w:val="0"/>
      <w:marTop w:val="0"/>
      <w:marBottom w:val="0"/>
      <w:divBdr>
        <w:top w:val="none" w:sz="0" w:space="0" w:color="auto"/>
        <w:left w:val="none" w:sz="0" w:space="0" w:color="auto"/>
        <w:bottom w:val="none" w:sz="0" w:space="0" w:color="auto"/>
        <w:right w:val="none" w:sz="0" w:space="0" w:color="auto"/>
      </w:divBdr>
      <w:divsChild>
        <w:div w:id="145318317">
          <w:marLeft w:val="0"/>
          <w:marRight w:val="0"/>
          <w:marTop w:val="75"/>
          <w:marBottom w:val="0"/>
          <w:divBdr>
            <w:top w:val="none" w:sz="0" w:space="0" w:color="auto"/>
            <w:left w:val="none" w:sz="0" w:space="0" w:color="auto"/>
            <w:bottom w:val="none" w:sz="0" w:space="0" w:color="auto"/>
            <w:right w:val="none" w:sz="0" w:space="0" w:color="auto"/>
          </w:divBdr>
          <w:divsChild>
            <w:div w:id="732506562">
              <w:marLeft w:val="0"/>
              <w:marRight w:val="0"/>
              <w:marTop w:val="0"/>
              <w:marBottom w:val="0"/>
              <w:divBdr>
                <w:top w:val="none" w:sz="0" w:space="0" w:color="auto"/>
                <w:left w:val="none" w:sz="0" w:space="0" w:color="auto"/>
                <w:bottom w:val="none" w:sz="0" w:space="0" w:color="auto"/>
                <w:right w:val="none" w:sz="0" w:space="0" w:color="auto"/>
              </w:divBdr>
              <w:divsChild>
                <w:div w:id="2068019827">
                  <w:marLeft w:val="0"/>
                  <w:marRight w:val="0"/>
                  <w:marTop w:val="525"/>
                  <w:marBottom w:val="0"/>
                  <w:divBdr>
                    <w:top w:val="none" w:sz="0" w:space="0" w:color="auto"/>
                    <w:left w:val="none" w:sz="0" w:space="0" w:color="auto"/>
                    <w:bottom w:val="none" w:sz="0" w:space="0" w:color="auto"/>
                    <w:right w:val="none" w:sz="0" w:space="0" w:color="auto"/>
                  </w:divBdr>
                  <w:divsChild>
                    <w:div w:id="600719331">
                      <w:marLeft w:val="0"/>
                      <w:marRight w:val="75"/>
                      <w:marTop w:val="0"/>
                      <w:marBottom w:val="0"/>
                      <w:divBdr>
                        <w:top w:val="single" w:sz="6" w:space="0" w:color="BECDE5"/>
                        <w:left w:val="single" w:sz="6" w:space="0" w:color="BECDE5"/>
                        <w:bottom w:val="single" w:sz="6" w:space="0" w:color="BECDE5"/>
                        <w:right w:val="single" w:sz="6" w:space="0" w:color="BECDE5"/>
                      </w:divBdr>
                      <w:divsChild>
                        <w:div w:id="1552032611">
                          <w:marLeft w:val="0"/>
                          <w:marRight w:val="0"/>
                          <w:marTop w:val="0"/>
                          <w:marBottom w:val="0"/>
                          <w:divBdr>
                            <w:top w:val="none" w:sz="0" w:space="0" w:color="auto"/>
                            <w:left w:val="none" w:sz="0" w:space="0" w:color="auto"/>
                            <w:bottom w:val="none" w:sz="0" w:space="0" w:color="auto"/>
                            <w:right w:val="none" w:sz="0" w:space="0" w:color="auto"/>
                          </w:divBdr>
                          <w:divsChild>
                            <w:div w:id="151406995">
                              <w:marLeft w:val="0"/>
                              <w:marRight w:val="0"/>
                              <w:marTop w:val="0"/>
                              <w:marBottom w:val="0"/>
                              <w:divBdr>
                                <w:top w:val="none" w:sz="0" w:space="0" w:color="auto"/>
                                <w:left w:val="none" w:sz="0" w:space="0" w:color="auto"/>
                                <w:bottom w:val="dashed" w:sz="6" w:space="0" w:color="F69A3C"/>
                                <w:right w:val="none" w:sz="0" w:space="0" w:color="auto"/>
                              </w:divBdr>
                            </w:div>
                            <w:div w:id="5691221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5976321">
      <w:bodyDiv w:val="1"/>
      <w:marLeft w:val="0"/>
      <w:marRight w:val="0"/>
      <w:marTop w:val="0"/>
      <w:marBottom w:val="0"/>
      <w:divBdr>
        <w:top w:val="none" w:sz="0" w:space="0" w:color="auto"/>
        <w:left w:val="none" w:sz="0" w:space="0" w:color="auto"/>
        <w:bottom w:val="none" w:sz="0" w:space="0" w:color="auto"/>
        <w:right w:val="none" w:sz="0" w:space="0" w:color="auto"/>
      </w:divBdr>
      <w:divsChild>
        <w:div w:id="151678419">
          <w:marLeft w:val="0"/>
          <w:marRight w:val="0"/>
          <w:marTop w:val="75"/>
          <w:marBottom w:val="0"/>
          <w:divBdr>
            <w:top w:val="none" w:sz="0" w:space="0" w:color="auto"/>
            <w:left w:val="none" w:sz="0" w:space="0" w:color="auto"/>
            <w:bottom w:val="none" w:sz="0" w:space="0" w:color="auto"/>
            <w:right w:val="none" w:sz="0" w:space="0" w:color="auto"/>
          </w:divBdr>
          <w:divsChild>
            <w:div w:id="1198085703">
              <w:marLeft w:val="0"/>
              <w:marRight w:val="0"/>
              <w:marTop w:val="0"/>
              <w:marBottom w:val="0"/>
              <w:divBdr>
                <w:top w:val="none" w:sz="0" w:space="0" w:color="auto"/>
                <w:left w:val="none" w:sz="0" w:space="0" w:color="auto"/>
                <w:bottom w:val="none" w:sz="0" w:space="0" w:color="auto"/>
                <w:right w:val="none" w:sz="0" w:space="0" w:color="auto"/>
              </w:divBdr>
              <w:divsChild>
                <w:div w:id="962883136">
                  <w:marLeft w:val="0"/>
                  <w:marRight w:val="0"/>
                  <w:marTop w:val="525"/>
                  <w:marBottom w:val="0"/>
                  <w:divBdr>
                    <w:top w:val="none" w:sz="0" w:space="0" w:color="auto"/>
                    <w:left w:val="none" w:sz="0" w:space="0" w:color="auto"/>
                    <w:bottom w:val="none" w:sz="0" w:space="0" w:color="auto"/>
                    <w:right w:val="none" w:sz="0" w:space="0" w:color="auto"/>
                  </w:divBdr>
                  <w:divsChild>
                    <w:div w:id="1553347462">
                      <w:marLeft w:val="0"/>
                      <w:marRight w:val="75"/>
                      <w:marTop w:val="0"/>
                      <w:marBottom w:val="0"/>
                      <w:divBdr>
                        <w:top w:val="single" w:sz="6" w:space="0" w:color="BECDE5"/>
                        <w:left w:val="single" w:sz="6" w:space="0" w:color="BECDE5"/>
                        <w:bottom w:val="single" w:sz="6" w:space="0" w:color="BECDE5"/>
                        <w:right w:val="single" w:sz="6" w:space="0" w:color="BECDE5"/>
                      </w:divBdr>
                      <w:divsChild>
                        <w:div w:id="1035499334">
                          <w:marLeft w:val="0"/>
                          <w:marRight w:val="0"/>
                          <w:marTop w:val="0"/>
                          <w:marBottom w:val="0"/>
                          <w:divBdr>
                            <w:top w:val="none" w:sz="0" w:space="0" w:color="auto"/>
                            <w:left w:val="none" w:sz="0" w:space="0" w:color="auto"/>
                            <w:bottom w:val="none" w:sz="0" w:space="0" w:color="auto"/>
                            <w:right w:val="none" w:sz="0" w:space="0" w:color="auto"/>
                          </w:divBdr>
                          <w:divsChild>
                            <w:div w:id="3087490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310</Words>
  <Characters>1770</Characters>
  <Application>Microsoft Office Word</Application>
  <DocSecurity>0</DocSecurity>
  <Lines>14</Lines>
  <Paragraphs>4</Paragraphs>
  <ScaleCrop>false</ScaleCrop>
  <Company>微软中国</Company>
  <LinksUpToDate>false</LinksUpToDate>
  <CharactersWithSpaces>2076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2013-08-21T09:13:00Z</dcterms:created>
  <dcterms:modified xsi:type="dcterms:W3CDTF">2013-08-21T09:14:00Z</dcterms:modified>
</cp:coreProperties>
</file>