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w:t>
      </w:r>
      <w:r>
        <w:rPr>
          <w:rFonts w:ascii="simsun" w:hAnsi="simsun"/>
          <w:color w:val="323E32"/>
        </w:rPr>
        <w:t>关于调整铁路运输企业税收收入划分办法的通知</w:t>
      </w:r>
      <w:r>
        <w:rPr>
          <w:rFonts w:ascii="simsun" w:hAnsi="simsun"/>
          <w:color w:val="323E32"/>
        </w:rPr>
        <w:t> </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w:t>
      </w:r>
      <w:bookmarkStart w:id="0" w:name="_GoBack"/>
      <w:r>
        <w:rPr>
          <w:rFonts w:ascii="simsun" w:hAnsi="simsun"/>
          <w:color w:val="323E32"/>
        </w:rPr>
        <w:t>财预</w:t>
      </w:r>
      <w:r>
        <w:rPr>
          <w:rFonts w:ascii="simsun" w:hAnsi="simsun"/>
          <w:color w:val="323E32"/>
        </w:rPr>
        <w:t>[2012]383</w:t>
      </w:r>
      <w:r>
        <w:rPr>
          <w:rFonts w:ascii="simsun" w:hAnsi="simsun"/>
          <w:color w:val="323E32"/>
        </w:rPr>
        <w:t>号</w:t>
      </w:r>
      <w:bookmarkEnd w:id="0"/>
    </w:p>
    <w:p w:rsidR="00417AD9" w:rsidRDefault="00417AD9" w:rsidP="00417AD9">
      <w:pPr>
        <w:pStyle w:val="a5"/>
        <w:spacing w:line="360" w:lineRule="auto"/>
        <w:rPr>
          <w:rFonts w:ascii="simsun" w:hAnsi="simsun"/>
          <w:color w:val="323E32"/>
          <w:sz w:val="21"/>
          <w:szCs w:val="21"/>
        </w:rPr>
      </w:pPr>
      <w:r>
        <w:rPr>
          <w:rFonts w:ascii="simsun" w:hAnsi="simsun"/>
          <w:color w:val="323E32"/>
        </w:rPr>
        <w:t>各省、自治区、直辖市、计划单列市财政厅（局）、国家税务局、地方税务局，中国人民银行上海总部，各分行、营业管理部，省会（首府）城市中心支行，深圳、大连、青岛、厦门、宁波市中心支行：</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为理顺铁路运输企业税收收入划分，妥善处理地区间利益分配关系，做好铁路运输企业税收收入的征缴入库和分配管理工作，从</w:t>
      </w:r>
      <w:r>
        <w:rPr>
          <w:rFonts w:ascii="simsun" w:hAnsi="simsun"/>
          <w:color w:val="323E32"/>
        </w:rPr>
        <w:t>2012</w:t>
      </w:r>
      <w:r>
        <w:rPr>
          <w:rFonts w:ascii="simsun" w:hAnsi="simsun"/>
          <w:color w:val="323E32"/>
        </w:rPr>
        <w:t>年</w:t>
      </w:r>
      <w:r>
        <w:rPr>
          <w:rFonts w:ascii="simsun" w:hAnsi="simsun"/>
          <w:color w:val="323E32"/>
        </w:rPr>
        <w:t>1</w:t>
      </w:r>
      <w:r>
        <w:rPr>
          <w:rFonts w:ascii="simsun" w:hAnsi="simsun"/>
          <w:color w:val="323E32"/>
        </w:rPr>
        <w:t>月</w:t>
      </w:r>
      <w:r>
        <w:rPr>
          <w:rFonts w:ascii="simsun" w:hAnsi="simsun"/>
          <w:color w:val="323E32"/>
        </w:rPr>
        <w:t>1</w:t>
      </w:r>
      <w:r>
        <w:rPr>
          <w:rFonts w:ascii="simsun" w:hAnsi="simsun"/>
          <w:color w:val="323E32"/>
        </w:rPr>
        <w:t>日起，调整铁路运输企业税收收入划分办法，现就有关预算管理事宜通知如下：</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一、中央与地方收入划分调整</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（一）铁道部集中缴纳的铁路运输企业税收收入划分调整。</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铁道部集中缴纳的铁路运输企业营业税（不含铁路建设基金营业税，下同）、城市维护建设税、教育费附加由中央收入调整为地方收入，铁道部集中缴纳的铁路建设基金营业税仍作为中央收入；铁道部集中缴纳的铁路运输企业所得税（含中铁快运股份有限公司缴纳的企业所得税）由中央与地方按照</w:t>
      </w:r>
      <w:r>
        <w:rPr>
          <w:rFonts w:ascii="simsun" w:hAnsi="simsun"/>
          <w:color w:val="323E32"/>
        </w:rPr>
        <w:t>60:40</w:t>
      </w:r>
      <w:r>
        <w:rPr>
          <w:rFonts w:ascii="simsun" w:hAnsi="simsun"/>
          <w:color w:val="323E32"/>
        </w:rPr>
        <w:t>的比例实行分享。</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（二）跨省合资铁路企业税收收入划分调整。</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跨省（自治区、直辖市，下同）合资铁路企业缴纳的营业税、城市维护建设税、教育费附加为地方收入。企业所得税由中央与地方按照</w:t>
      </w:r>
      <w:r>
        <w:rPr>
          <w:rFonts w:ascii="simsun" w:hAnsi="simsun"/>
          <w:color w:val="323E32"/>
        </w:rPr>
        <w:t>60:40</w:t>
      </w:r>
      <w:r>
        <w:rPr>
          <w:rFonts w:ascii="simsun" w:hAnsi="simsun"/>
          <w:color w:val="323E32"/>
        </w:rPr>
        <w:t>的比例实行分享。</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二、地方收入分配办法</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（一）铁道部集中缴纳的铁路运输企业税收收入分配办法。</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铁道部集中缴纳的铁路运输企业营业税、城市维护建设税、教育费附加和企业所得税地方分享</w:t>
      </w:r>
      <w:r>
        <w:rPr>
          <w:rFonts w:ascii="simsun" w:hAnsi="simsun"/>
          <w:color w:val="323E32"/>
        </w:rPr>
        <w:t>40%</w:t>
      </w:r>
      <w:r>
        <w:rPr>
          <w:rFonts w:ascii="simsun" w:hAnsi="simsun"/>
          <w:color w:val="323E32"/>
        </w:rPr>
        <w:t>部分，由中央财政按照各省、自治区、直辖市铁路客、货</w:t>
      </w:r>
      <w:r>
        <w:rPr>
          <w:rFonts w:ascii="simsun" w:hAnsi="simsun"/>
          <w:color w:val="323E32"/>
        </w:rPr>
        <w:lastRenderedPageBreak/>
        <w:t>运周转量，客、货运发送量等因素所占比例在地区间分配，分配比例每两年根据上述因素变化情况进行调整。相关因素权重为：客运周转量占</w:t>
      </w:r>
      <w:r>
        <w:rPr>
          <w:rFonts w:ascii="simsun" w:hAnsi="simsun"/>
          <w:color w:val="323E32"/>
        </w:rPr>
        <w:t>36%</w:t>
      </w:r>
      <w:r>
        <w:rPr>
          <w:rFonts w:ascii="simsun" w:hAnsi="simsun"/>
          <w:color w:val="323E32"/>
        </w:rPr>
        <w:t>，货运周转量占</w:t>
      </w:r>
      <w:r>
        <w:rPr>
          <w:rFonts w:ascii="simsun" w:hAnsi="simsun"/>
          <w:color w:val="323E32"/>
        </w:rPr>
        <w:t>54%</w:t>
      </w:r>
      <w:r>
        <w:rPr>
          <w:rFonts w:ascii="simsun" w:hAnsi="simsun"/>
          <w:color w:val="323E32"/>
        </w:rPr>
        <w:t>，客运发送量占</w:t>
      </w:r>
      <w:r>
        <w:rPr>
          <w:rFonts w:ascii="simsun" w:hAnsi="simsun"/>
          <w:color w:val="323E32"/>
        </w:rPr>
        <w:t>4%</w:t>
      </w:r>
      <w:r>
        <w:rPr>
          <w:rFonts w:ascii="simsun" w:hAnsi="simsun"/>
          <w:color w:val="323E32"/>
        </w:rPr>
        <w:t>，货运发送量占</w:t>
      </w:r>
      <w:r>
        <w:rPr>
          <w:rFonts w:ascii="simsun" w:hAnsi="simsun"/>
          <w:color w:val="323E32"/>
        </w:rPr>
        <w:t>6%</w:t>
      </w:r>
      <w:r>
        <w:rPr>
          <w:rFonts w:ascii="simsun" w:hAnsi="simsun"/>
          <w:color w:val="323E32"/>
        </w:rPr>
        <w:t>。</w:t>
      </w:r>
      <w:r>
        <w:rPr>
          <w:rFonts w:ascii="simsun" w:hAnsi="simsun"/>
          <w:color w:val="323E32"/>
        </w:rPr>
        <w:t>2012</w:t>
      </w:r>
      <w:r>
        <w:rPr>
          <w:rFonts w:ascii="simsun" w:hAnsi="simsun"/>
          <w:color w:val="323E32"/>
        </w:rPr>
        <w:t>年各省分配比例详见附件</w:t>
      </w:r>
      <w:r>
        <w:rPr>
          <w:rFonts w:ascii="simsun" w:hAnsi="simsun"/>
          <w:color w:val="323E32"/>
        </w:rPr>
        <w:t>1</w:t>
      </w:r>
      <w:r>
        <w:rPr>
          <w:rFonts w:ascii="simsun" w:hAnsi="simsun"/>
          <w:color w:val="323E32"/>
        </w:rPr>
        <w:t>。</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（二）跨省合资铁路企业税收收入分配办法。</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跨省合资铁路企业缴纳的营业税和地方分享的所得税收入，按照相关省份铁路客、货运周转量和运营里程等因素所占比例在相关地区分配，分配比例每两年根据上述因素变化情况进行调整。相关因素权重为：客运周转量占</w:t>
      </w:r>
      <w:r>
        <w:rPr>
          <w:rFonts w:ascii="simsun" w:hAnsi="simsun"/>
          <w:color w:val="323E32"/>
        </w:rPr>
        <w:t>28%</w:t>
      </w:r>
      <w:r>
        <w:rPr>
          <w:rFonts w:ascii="simsun" w:hAnsi="simsun"/>
          <w:color w:val="323E32"/>
        </w:rPr>
        <w:t>，货运周转量占</w:t>
      </w:r>
      <w:r>
        <w:rPr>
          <w:rFonts w:ascii="simsun" w:hAnsi="simsun"/>
          <w:color w:val="323E32"/>
        </w:rPr>
        <w:t>42%</w:t>
      </w:r>
      <w:r>
        <w:rPr>
          <w:rFonts w:ascii="simsun" w:hAnsi="simsun"/>
          <w:color w:val="323E32"/>
        </w:rPr>
        <w:t>，运营里程占</w:t>
      </w:r>
      <w:r>
        <w:rPr>
          <w:rFonts w:ascii="simsun" w:hAnsi="simsun"/>
          <w:color w:val="323E32"/>
        </w:rPr>
        <w:t>30%</w:t>
      </w:r>
      <w:r>
        <w:rPr>
          <w:rFonts w:ascii="simsun" w:hAnsi="simsun"/>
          <w:color w:val="323E32"/>
        </w:rPr>
        <w:t>。</w:t>
      </w:r>
      <w:r>
        <w:rPr>
          <w:rFonts w:ascii="simsun" w:hAnsi="simsun"/>
          <w:color w:val="323E32"/>
        </w:rPr>
        <w:t>2012</w:t>
      </w:r>
      <w:r>
        <w:rPr>
          <w:rFonts w:ascii="simsun" w:hAnsi="simsun"/>
          <w:color w:val="323E32"/>
        </w:rPr>
        <w:t>年相关省份分配比例详见附件</w:t>
      </w:r>
      <w:r>
        <w:rPr>
          <w:rFonts w:ascii="simsun" w:hAnsi="simsun"/>
          <w:color w:val="323E32"/>
        </w:rPr>
        <w:t>2</w:t>
      </w:r>
      <w:r>
        <w:rPr>
          <w:rFonts w:ascii="simsun" w:hAnsi="simsun"/>
          <w:color w:val="323E32"/>
        </w:rPr>
        <w:t>。</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城市维护建设税和教育费附加</w:t>
      </w:r>
      <w:r>
        <w:rPr>
          <w:rFonts w:ascii="simsun" w:hAnsi="simsun"/>
          <w:color w:val="323E32"/>
        </w:rPr>
        <w:t>100%</w:t>
      </w:r>
      <w:r>
        <w:rPr>
          <w:rFonts w:ascii="simsun" w:hAnsi="simsun"/>
          <w:color w:val="323E32"/>
        </w:rPr>
        <w:t>为该企业注册地地方收入。</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三、预算科目调整</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（一）将</w:t>
      </w:r>
      <w:r>
        <w:rPr>
          <w:rFonts w:ascii="simsun" w:hAnsi="simsun"/>
          <w:color w:val="323E32"/>
        </w:rPr>
        <w:t>“1010301</w:t>
      </w:r>
      <w:r>
        <w:rPr>
          <w:rFonts w:ascii="simsun" w:hAnsi="simsun"/>
          <w:color w:val="323E32"/>
        </w:rPr>
        <w:t>铁道营业税</w:t>
      </w:r>
      <w:r>
        <w:rPr>
          <w:rFonts w:ascii="simsun" w:hAnsi="simsun"/>
          <w:color w:val="323E32"/>
        </w:rPr>
        <w:t>”</w:t>
      </w:r>
      <w:r>
        <w:rPr>
          <w:rFonts w:ascii="simsun" w:hAnsi="simsun"/>
          <w:color w:val="323E32"/>
        </w:rPr>
        <w:t>改为</w:t>
      </w:r>
      <w:r>
        <w:rPr>
          <w:rFonts w:ascii="simsun" w:hAnsi="simsun"/>
          <w:color w:val="323E32"/>
        </w:rPr>
        <w:t>“</w:t>
      </w:r>
      <w:r>
        <w:rPr>
          <w:rFonts w:ascii="simsun" w:hAnsi="simsun"/>
          <w:color w:val="323E32"/>
        </w:rPr>
        <w:t>铁路运输企业营业税</w:t>
      </w:r>
      <w:r>
        <w:rPr>
          <w:rFonts w:ascii="simsun" w:hAnsi="simsun"/>
          <w:color w:val="323E32"/>
        </w:rPr>
        <w:t>”</w:t>
      </w:r>
      <w:r>
        <w:rPr>
          <w:rFonts w:ascii="simsun" w:hAnsi="simsun"/>
          <w:color w:val="323E32"/>
        </w:rPr>
        <w:t>。下设</w:t>
      </w:r>
      <w:r>
        <w:rPr>
          <w:rFonts w:ascii="simsun" w:hAnsi="simsun"/>
          <w:color w:val="323E32"/>
        </w:rPr>
        <w:t>“101030101</w:t>
      </w:r>
      <w:r>
        <w:rPr>
          <w:rFonts w:ascii="simsun" w:hAnsi="simsun"/>
          <w:color w:val="323E32"/>
        </w:rPr>
        <w:t>铁道部集中缴纳的铁路运输企业营业税</w:t>
      </w:r>
      <w:r>
        <w:rPr>
          <w:rFonts w:ascii="simsun" w:hAnsi="simsun"/>
          <w:color w:val="323E32"/>
        </w:rPr>
        <w:t>”</w:t>
      </w:r>
      <w:r>
        <w:rPr>
          <w:rFonts w:ascii="simsun" w:hAnsi="simsun"/>
          <w:color w:val="323E32"/>
        </w:rPr>
        <w:t>，地方收入科目，反映铁道部集中缴纳的铁路运输企业营业税；增设</w:t>
      </w:r>
      <w:r>
        <w:rPr>
          <w:rFonts w:ascii="simsun" w:hAnsi="simsun"/>
          <w:color w:val="323E32"/>
        </w:rPr>
        <w:t>“101030102</w:t>
      </w:r>
      <w:r>
        <w:rPr>
          <w:rFonts w:ascii="simsun" w:hAnsi="simsun"/>
          <w:color w:val="323E32"/>
        </w:rPr>
        <w:t>跨省合资铁路营业税</w:t>
      </w:r>
      <w:r>
        <w:rPr>
          <w:rFonts w:ascii="simsun" w:hAnsi="simsun"/>
          <w:color w:val="323E32"/>
        </w:rPr>
        <w:t>”</w:t>
      </w:r>
      <w:r>
        <w:rPr>
          <w:rFonts w:ascii="simsun" w:hAnsi="simsun"/>
          <w:color w:val="323E32"/>
        </w:rPr>
        <w:t>，地方收入科目，反映跨省合资铁路企业缴纳的营业税；增设</w:t>
      </w:r>
      <w:r>
        <w:rPr>
          <w:rFonts w:ascii="simsun" w:hAnsi="simsun"/>
          <w:color w:val="323E32"/>
        </w:rPr>
        <w:t>“1010305</w:t>
      </w:r>
      <w:r>
        <w:rPr>
          <w:rFonts w:ascii="simsun" w:hAnsi="simsun"/>
          <w:color w:val="323E32"/>
        </w:rPr>
        <w:t>铁路建设基金营业税</w:t>
      </w:r>
      <w:r>
        <w:rPr>
          <w:rFonts w:ascii="simsun" w:hAnsi="simsun"/>
          <w:color w:val="323E32"/>
        </w:rPr>
        <w:t>”</w:t>
      </w:r>
      <w:r>
        <w:rPr>
          <w:rFonts w:ascii="simsun" w:hAnsi="simsun"/>
          <w:color w:val="323E32"/>
        </w:rPr>
        <w:t>，中央收入科目，反映铁道部集中缴纳的铁路建设基金营业税。增设</w:t>
      </w:r>
      <w:r>
        <w:rPr>
          <w:rFonts w:ascii="simsun" w:hAnsi="simsun"/>
          <w:color w:val="323E32"/>
        </w:rPr>
        <w:t>“1010306</w:t>
      </w:r>
      <w:r>
        <w:rPr>
          <w:rFonts w:ascii="simsun" w:hAnsi="simsun"/>
          <w:color w:val="323E32"/>
        </w:rPr>
        <w:t>铁道部集中缴纳的铁路运输企业营业税待分配收入</w:t>
      </w:r>
      <w:r>
        <w:rPr>
          <w:rFonts w:ascii="simsun" w:hAnsi="simsun"/>
          <w:color w:val="323E32"/>
        </w:rPr>
        <w:t>”</w:t>
      </w:r>
      <w:r>
        <w:rPr>
          <w:rFonts w:ascii="simsun" w:hAnsi="simsun"/>
          <w:color w:val="323E32"/>
        </w:rPr>
        <w:t>，中央收入科目，反映待分配的铁道部集中缴纳的铁路运输企业营业税收入，在中央或地方财政统计铁路运输企业营业税收入时对本科目不作统计，以免重复计算。</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（二）将</w:t>
      </w:r>
      <w:r>
        <w:rPr>
          <w:rFonts w:ascii="simsun" w:hAnsi="simsun"/>
          <w:color w:val="323E32"/>
        </w:rPr>
        <w:t>“101041701</w:t>
      </w:r>
      <w:r>
        <w:rPr>
          <w:rFonts w:ascii="simsun" w:hAnsi="simsun"/>
          <w:color w:val="323E32"/>
        </w:rPr>
        <w:t>铁道运输企业所得税</w:t>
      </w:r>
      <w:r>
        <w:rPr>
          <w:rFonts w:ascii="simsun" w:hAnsi="simsun"/>
          <w:color w:val="323E32"/>
        </w:rPr>
        <w:t>”</w:t>
      </w:r>
      <w:r>
        <w:rPr>
          <w:rFonts w:ascii="simsun" w:hAnsi="simsun"/>
          <w:color w:val="323E32"/>
        </w:rPr>
        <w:t>修改为</w:t>
      </w:r>
      <w:r>
        <w:rPr>
          <w:rFonts w:ascii="simsun" w:hAnsi="simsun"/>
          <w:color w:val="323E32"/>
        </w:rPr>
        <w:t>“101041701</w:t>
      </w:r>
      <w:r>
        <w:rPr>
          <w:rFonts w:ascii="simsun" w:hAnsi="simsun"/>
          <w:color w:val="323E32"/>
        </w:rPr>
        <w:t>铁道部集中缴纳的铁路运输企业所得税</w:t>
      </w:r>
      <w:r>
        <w:rPr>
          <w:rFonts w:ascii="simsun" w:hAnsi="simsun"/>
          <w:color w:val="323E32"/>
        </w:rPr>
        <w:t>”</w:t>
      </w:r>
      <w:r>
        <w:rPr>
          <w:rFonts w:ascii="simsun" w:hAnsi="simsun"/>
          <w:color w:val="323E32"/>
        </w:rPr>
        <w:t>，中央与地方共用收入科目，反映铁道部集中缴纳的铁路运输企业所得税（含中铁快运股份有限公司缴纳的企业所得税）；增设</w:t>
      </w:r>
      <w:r>
        <w:rPr>
          <w:rFonts w:ascii="simsun" w:hAnsi="simsun"/>
          <w:color w:val="323E32"/>
        </w:rPr>
        <w:t>“101043317</w:t>
      </w:r>
      <w:r>
        <w:rPr>
          <w:rFonts w:ascii="simsun" w:hAnsi="simsun"/>
          <w:color w:val="323E32"/>
        </w:rPr>
        <w:t>跨省合资铁路企业所得税</w:t>
      </w:r>
      <w:r>
        <w:rPr>
          <w:rFonts w:ascii="simsun" w:hAnsi="simsun"/>
          <w:color w:val="323E32"/>
        </w:rPr>
        <w:t>”</w:t>
      </w:r>
      <w:r>
        <w:rPr>
          <w:rFonts w:ascii="simsun" w:hAnsi="simsun"/>
          <w:color w:val="323E32"/>
        </w:rPr>
        <w:t>，中央与地方共用收入科目，反映合资铁路企业缴纳的企业所得税。增设</w:t>
      </w:r>
      <w:r>
        <w:rPr>
          <w:rFonts w:ascii="simsun" w:hAnsi="simsun"/>
          <w:color w:val="323E32"/>
        </w:rPr>
        <w:t>“101041702</w:t>
      </w:r>
      <w:r>
        <w:rPr>
          <w:rFonts w:ascii="simsun" w:hAnsi="simsun"/>
          <w:color w:val="323E32"/>
        </w:rPr>
        <w:t>铁道部集中缴纳的铁路运输企业所得税待分配收入</w:t>
      </w:r>
      <w:r>
        <w:rPr>
          <w:rFonts w:ascii="simsun" w:hAnsi="simsun"/>
          <w:color w:val="323E32"/>
        </w:rPr>
        <w:t>”</w:t>
      </w:r>
      <w:r>
        <w:rPr>
          <w:rFonts w:ascii="simsun" w:hAnsi="simsun"/>
          <w:color w:val="323E32"/>
        </w:rPr>
        <w:t>，中央收入科目，反映待分配的铁道部集中缴纳的铁路运输企</w:t>
      </w:r>
      <w:r>
        <w:rPr>
          <w:rFonts w:ascii="simsun" w:hAnsi="simsun"/>
          <w:color w:val="323E32"/>
        </w:rPr>
        <w:lastRenderedPageBreak/>
        <w:t>业所得税地方分享</w:t>
      </w:r>
      <w:r>
        <w:rPr>
          <w:rFonts w:ascii="simsun" w:hAnsi="simsun"/>
          <w:color w:val="323E32"/>
        </w:rPr>
        <w:t>40%</w:t>
      </w:r>
      <w:r>
        <w:rPr>
          <w:rFonts w:ascii="simsun" w:hAnsi="simsun"/>
          <w:color w:val="323E32"/>
        </w:rPr>
        <w:t>部分，在中央或地方财政统计铁路运输企业所得税收入时对本科目不作统计，以免重复计算。</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（三）对</w:t>
      </w:r>
      <w:r>
        <w:rPr>
          <w:rFonts w:ascii="simsun" w:hAnsi="simsun"/>
          <w:color w:val="323E32"/>
        </w:rPr>
        <w:t>“1010901</w:t>
      </w:r>
      <w:r>
        <w:rPr>
          <w:rFonts w:ascii="simsun" w:hAnsi="simsun"/>
          <w:color w:val="323E32"/>
        </w:rPr>
        <w:t>国有企业城市维护建设税</w:t>
      </w:r>
      <w:r>
        <w:rPr>
          <w:rFonts w:ascii="simsun" w:hAnsi="simsun"/>
          <w:color w:val="323E32"/>
        </w:rPr>
        <w:t>”</w:t>
      </w:r>
      <w:r>
        <w:rPr>
          <w:rFonts w:ascii="simsun" w:hAnsi="simsun"/>
          <w:color w:val="323E32"/>
        </w:rPr>
        <w:t>科目的说明进行修改，删除</w:t>
      </w:r>
      <w:r>
        <w:rPr>
          <w:rFonts w:ascii="simsun" w:hAnsi="simsun"/>
          <w:color w:val="323E32"/>
        </w:rPr>
        <w:t>“</w:t>
      </w:r>
      <w:r>
        <w:rPr>
          <w:rFonts w:ascii="simsun" w:hAnsi="simsun"/>
          <w:color w:val="323E32"/>
        </w:rPr>
        <w:t>对铁道部征收的城市维护建设税为中央收入</w:t>
      </w:r>
      <w:r>
        <w:rPr>
          <w:rFonts w:ascii="simsun" w:hAnsi="simsun"/>
          <w:color w:val="323E32"/>
        </w:rPr>
        <w:t>”</w:t>
      </w:r>
      <w:r>
        <w:rPr>
          <w:rFonts w:ascii="simsun" w:hAnsi="simsun"/>
          <w:color w:val="323E32"/>
        </w:rPr>
        <w:t>的内容；增设</w:t>
      </w:r>
      <w:r>
        <w:rPr>
          <w:rFonts w:ascii="simsun" w:hAnsi="simsun"/>
          <w:color w:val="323E32"/>
        </w:rPr>
        <w:t>“101090101</w:t>
      </w:r>
      <w:r>
        <w:rPr>
          <w:rFonts w:ascii="simsun" w:hAnsi="simsun"/>
          <w:color w:val="323E32"/>
        </w:rPr>
        <w:t>铁道部集中缴纳的铁路运输企业城市维护建设税</w:t>
      </w:r>
      <w:r>
        <w:rPr>
          <w:rFonts w:ascii="simsun" w:hAnsi="simsun"/>
          <w:color w:val="323E32"/>
        </w:rPr>
        <w:t>”</w:t>
      </w:r>
      <w:r>
        <w:rPr>
          <w:rFonts w:ascii="simsun" w:hAnsi="simsun"/>
          <w:color w:val="323E32"/>
        </w:rPr>
        <w:t>，地方收入科目，反映地方分享的铁道部集中缴纳的铁路运输企业城市维护建设税。增设</w:t>
      </w:r>
      <w:r>
        <w:rPr>
          <w:rFonts w:ascii="simsun" w:hAnsi="simsun"/>
          <w:color w:val="323E32"/>
        </w:rPr>
        <w:t>“1010918</w:t>
      </w:r>
      <w:r>
        <w:rPr>
          <w:rFonts w:ascii="simsun" w:hAnsi="simsun"/>
          <w:color w:val="323E32"/>
        </w:rPr>
        <w:t>铁道部集中缴纳的铁路运输企业城市维护建设税待分配收入</w:t>
      </w:r>
      <w:r>
        <w:rPr>
          <w:rFonts w:ascii="simsun" w:hAnsi="simsun"/>
          <w:color w:val="323E32"/>
        </w:rPr>
        <w:t>”</w:t>
      </w:r>
      <w:r>
        <w:rPr>
          <w:rFonts w:ascii="simsun" w:hAnsi="simsun"/>
          <w:color w:val="323E32"/>
        </w:rPr>
        <w:t>，中央收入科目，反映待分配的铁道部集中缴纳的铁路运输企业城市维护建设税收入，在中央或地方财政统计铁路运输企业城市维护建设税收入时对本科目不作统计，以免重复计算。增设</w:t>
      </w:r>
      <w:r>
        <w:rPr>
          <w:rFonts w:ascii="simsun" w:hAnsi="simsun"/>
          <w:color w:val="323E32"/>
        </w:rPr>
        <w:t xml:space="preserve">“101090109 </w:t>
      </w:r>
      <w:r>
        <w:rPr>
          <w:rFonts w:ascii="simsun" w:hAnsi="simsun"/>
          <w:color w:val="323E32"/>
        </w:rPr>
        <w:t>除铁道部以外的其他国有企业城市维护建设税</w:t>
      </w:r>
      <w:r>
        <w:rPr>
          <w:rFonts w:ascii="simsun" w:hAnsi="simsun"/>
          <w:color w:val="323E32"/>
        </w:rPr>
        <w:t>”</w:t>
      </w:r>
      <w:r>
        <w:rPr>
          <w:rFonts w:ascii="simsun" w:hAnsi="simsun"/>
          <w:color w:val="323E32"/>
        </w:rPr>
        <w:t>，中央与地方共用收入科目。</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（四）在教育费附加收入科目下，增设</w:t>
      </w:r>
      <w:r>
        <w:rPr>
          <w:rFonts w:ascii="simsun" w:hAnsi="simsun"/>
          <w:color w:val="323E32"/>
        </w:rPr>
        <w:t>“103020304</w:t>
      </w:r>
      <w:r>
        <w:rPr>
          <w:rFonts w:ascii="simsun" w:hAnsi="simsun"/>
          <w:color w:val="323E32"/>
        </w:rPr>
        <w:t>铁道部集中缴纳的铁路运输企业教育费附加</w:t>
      </w:r>
      <w:r>
        <w:rPr>
          <w:rFonts w:ascii="simsun" w:hAnsi="simsun"/>
          <w:color w:val="323E32"/>
        </w:rPr>
        <w:t>”</w:t>
      </w:r>
      <w:r>
        <w:rPr>
          <w:rFonts w:ascii="simsun" w:hAnsi="simsun"/>
          <w:color w:val="323E32"/>
        </w:rPr>
        <w:t>，地方收入科目，反映地方分享的铁道部集中缴纳的铁路运输企业教育费附加收入。增设</w:t>
      </w:r>
      <w:r>
        <w:rPr>
          <w:rFonts w:ascii="simsun" w:hAnsi="simsun"/>
          <w:color w:val="323E32"/>
        </w:rPr>
        <w:t>“103020305</w:t>
      </w:r>
      <w:r>
        <w:rPr>
          <w:rFonts w:ascii="simsun" w:hAnsi="simsun"/>
          <w:color w:val="323E32"/>
        </w:rPr>
        <w:t>铁道部集中缴纳的铁路运输企业教育费附加待分配收入</w:t>
      </w:r>
      <w:r>
        <w:rPr>
          <w:rFonts w:ascii="simsun" w:hAnsi="simsun"/>
          <w:color w:val="323E32"/>
        </w:rPr>
        <w:t>”</w:t>
      </w:r>
      <w:r>
        <w:rPr>
          <w:rFonts w:ascii="simsun" w:hAnsi="simsun"/>
          <w:color w:val="323E32"/>
        </w:rPr>
        <w:t>，中央收入科目，反映待分配的铁道部集中缴纳的铁路运输企业教育费附加收入，在中央或地方财政统计铁路运输企业教育费附加收入时对本科目不作统计，以免重复计算。</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（五）上述科目涉及的滞纳金和罚款收入，分别填列</w:t>
      </w:r>
      <w:r>
        <w:rPr>
          <w:rFonts w:ascii="simsun" w:hAnsi="simsun"/>
          <w:color w:val="323E32"/>
        </w:rPr>
        <w:t xml:space="preserve">“1010320 </w:t>
      </w:r>
      <w:r>
        <w:rPr>
          <w:rFonts w:ascii="simsun" w:hAnsi="simsun"/>
          <w:color w:val="323E32"/>
        </w:rPr>
        <w:t>营业税税款滞纳金、罚款收入</w:t>
      </w:r>
      <w:r>
        <w:rPr>
          <w:rFonts w:ascii="simsun" w:hAnsi="simsun"/>
          <w:color w:val="323E32"/>
        </w:rPr>
        <w:t>”</w:t>
      </w:r>
      <w:r>
        <w:rPr>
          <w:rFonts w:ascii="simsun" w:hAnsi="simsun"/>
          <w:color w:val="323E32"/>
        </w:rPr>
        <w:t>、</w:t>
      </w:r>
      <w:r>
        <w:rPr>
          <w:rFonts w:ascii="simsun" w:hAnsi="simsun"/>
          <w:color w:val="323E32"/>
        </w:rPr>
        <w:t>“101045003</w:t>
      </w:r>
      <w:r>
        <w:rPr>
          <w:rFonts w:ascii="simsun" w:hAnsi="simsun"/>
          <w:color w:val="323E32"/>
        </w:rPr>
        <w:t>中央企业所得税税款滞纳金、罚款、加收利息收入</w:t>
      </w:r>
      <w:r>
        <w:rPr>
          <w:rFonts w:ascii="simsun" w:hAnsi="simsun"/>
          <w:color w:val="323E32"/>
        </w:rPr>
        <w:t>”</w:t>
      </w:r>
      <w:r>
        <w:rPr>
          <w:rFonts w:ascii="simsun" w:hAnsi="simsun"/>
          <w:color w:val="323E32"/>
        </w:rPr>
        <w:t>、</w:t>
      </w:r>
      <w:r>
        <w:rPr>
          <w:rFonts w:ascii="simsun" w:hAnsi="simsun"/>
          <w:color w:val="323E32"/>
        </w:rPr>
        <w:t xml:space="preserve">“1010920 </w:t>
      </w:r>
      <w:r>
        <w:rPr>
          <w:rFonts w:ascii="simsun" w:hAnsi="simsun"/>
          <w:color w:val="323E32"/>
        </w:rPr>
        <w:t>城市维护建设</w:t>
      </w:r>
      <w:proofErr w:type="gramStart"/>
      <w:r>
        <w:rPr>
          <w:rFonts w:ascii="simsun" w:hAnsi="simsun"/>
          <w:color w:val="323E32"/>
        </w:rPr>
        <w:t>税</w:t>
      </w:r>
      <w:proofErr w:type="gramEnd"/>
      <w:r>
        <w:rPr>
          <w:rFonts w:ascii="simsun" w:hAnsi="simsun"/>
          <w:color w:val="323E32"/>
        </w:rPr>
        <w:t>税款滞纳金、罚款收入</w:t>
      </w:r>
      <w:r>
        <w:rPr>
          <w:rFonts w:ascii="simsun" w:hAnsi="simsun"/>
          <w:color w:val="323E32"/>
        </w:rPr>
        <w:t>”</w:t>
      </w:r>
      <w:r>
        <w:rPr>
          <w:rFonts w:ascii="simsun" w:hAnsi="simsun"/>
          <w:color w:val="323E32"/>
        </w:rPr>
        <w:t>和</w:t>
      </w:r>
      <w:r>
        <w:rPr>
          <w:rFonts w:ascii="simsun" w:hAnsi="simsun"/>
          <w:color w:val="323E32"/>
        </w:rPr>
        <w:t>“103020399</w:t>
      </w:r>
      <w:r>
        <w:rPr>
          <w:rFonts w:ascii="simsun" w:hAnsi="simsun"/>
          <w:color w:val="323E32"/>
        </w:rPr>
        <w:t>教育费附加滞纳金、罚款收入</w:t>
      </w:r>
      <w:r>
        <w:rPr>
          <w:rFonts w:ascii="simsun" w:hAnsi="simsun"/>
          <w:color w:val="323E32"/>
        </w:rPr>
        <w:t>”</w:t>
      </w:r>
      <w:r>
        <w:rPr>
          <w:rFonts w:ascii="simsun" w:hAnsi="simsun"/>
          <w:color w:val="323E32"/>
        </w:rPr>
        <w:t>科目。</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四、缴库程序</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（一）铁道部集中缴纳的铁路运输企业税收缴库程序。</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铁道部集中缴纳的铁路运输企业营业税、城市维护建设税和教育费附加填开缴款书时，分别按</w:t>
      </w:r>
      <w:r>
        <w:rPr>
          <w:rFonts w:ascii="simsun" w:hAnsi="simsun"/>
          <w:color w:val="323E32"/>
        </w:rPr>
        <w:t>“1010306</w:t>
      </w:r>
      <w:r>
        <w:rPr>
          <w:rFonts w:ascii="simsun" w:hAnsi="simsun"/>
          <w:color w:val="323E32"/>
        </w:rPr>
        <w:t>铁道部集中缴纳的铁路运输企业营业税待分配收入</w:t>
      </w:r>
      <w:r>
        <w:rPr>
          <w:rFonts w:ascii="simsun" w:hAnsi="simsun"/>
          <w:color w:val="323E32"/>
        </w:rPr>
        <w:t>”</w:t>
      </w:r>
      <w:r>
        <w:rPr>
          <w:rFonts w:ascii="simsun" w:hAnsi="simsun"/>
          <w:color w:val="323E32"/>
        </w:rPr>
        <w:t>、</w:t>
      </w:r>
      <w:r>
        <w:rPr>
          <w:rFonts w:ascii="simsun" w:hAnsi="simsun"/>
          <w:color w:val="323E32"/>
        </w:rPr>
        <w:t>“1010918</w:t>
      </w:r>
      <w:r>
        <w:rPr>
          <w:rFonts w:ascii="simsun" w:hAnsi="simsun"/>
          <w:color w:val="323E32"/>
        </w:rPr>
        <w:t>铁道部集中缴纳的铁路运输企业城市维护建设税待分配收入</w:t>
      </w:r>
      <w:r>
        <w:rPr>
          <w:rFonts w:ascii="simsun" w:hAnsi="simsun"/>
          <w:color w:val="323E32"/>
        </w:rPr>
        <w:t>”</w:t>
      </w:r>
      <w:r>
        <w:rPr>
          <w:rFonts w:ascii="simsun" w:hAnsi="simsun"/>
          <w:color w:val="323E32"/>
        </w:rPr>
        <w:t>、</w:t>
      </w:r>
      <w:r>
        <w:rPr>
          <w:rFonts w:ascii="simsun" w:hAnsi="simsun"/>
          <w:color w:val="323E32"/>
        </w:rPr>
        <w:t>“103020305</w:t>
      </w:r>
      <w:r>
        <w:rPr>
          <w:rFonts w:ascii="simsun" w:hAnsi="simsun"/>
          <w:color w:val="323E32"/>
        </w:rPr>
        <w:t>铁道部集中缴纳的铁路运输企业教育费附加待分配收入</w:t>
      </w:r>
      <w:r>
        <w:rPr>
          <w:rFonts w:ascii="simsun" w:hAnsi="simsun"/>
          <w:color w:val="323E32"/>
        </w:rPr>
        <w:t>”</w:t>
      </w:r>
      <w:r>
        <w:rPr>
          <w:rFonts w:ascii="simsun" w:hAnsi="simsun"/>
          <w:color w:val="323E32"/>
        </w:rPr>
        <w:t>填写，</w:t>
      </w:r>
      <w:r>
        <w:rPr>
          <w:rFonts w:ascii="simsun" w:hAnsi="simsun"/>
          <w:color w:val="323E32"/>
        </w:rPr>
        <w:t>“</w:t>
      </w:r>
      <w:r>
        <w:rPr>
          <w:rFonts w:ascii="simsun" w:hAnsi="simsun"/>
          <w:color w:val="323E32"/>
        </w:rPr>
        <w:t>级次</w:t>
      </w:r>
      <w:r>
        <w:rPr>
          <w:rFonts w:ascii="simsun" w:hAnsi="simsun"/>
          <w:color w:val="323E32"/>
        </w:rPr>
        <w:t>”</w:t>
      </w:r>
      <w:r>
        <w:rPr>
          <w:rFonts w:ascii="simsun" w:hAnsi="simsun"/>
          <w:color w:val="323E32"/>
        </w:rPr>
        <w:lastRenderedPageBreak/>
        <w:t>栏按</w:t>
      </w:r>
      <w:r>
        <w:rPr>
          <w:rFonts w:ascii="simsun" w:hAnsi="simsun"/>
          <w:color w:val="323E32"/>
        </w:rPr>
        <w:t>“</w:t>
      </w:r>
      <w:r>
        <w:rPr>
          <w:rFonts w:ascii="simsun" w:hAnsi="simsun"/>
          <w:color w:val="323E32"/>
        </w:rPr>
        <w:t>中央</w:t>
      </w:r>
      <w:r>
        <w:rPr>
          <w:rFonts w:ascii="simsun" w:hAnsi="simsun"/>
          <w:color w:val="323E32"/>
        </w:rPr>
        <w:t>100%</w:t>
      </w:r>
      <w:r>
        <w:rPr>
          <w:rFonts w:ascii="simsun" w:hAnsi="simsun"/>
          <w:color w:val="323E32"/>
        </w:rPr>
        <w:t>（待分配）</w:t>
      </w:r>
      <w:r>
        <w:rPr>
          <w:rFonts w:ascii="simsun" w:hAnsi="simsun"/>
          <w:color w:val="323E32"/>
        </w:rPr>
        <w:t>”</w:t>
      </w:r>
      <w:r>
        <w:rPr>
          <w:rFonts w:ascii="simsun" w:hAnsi="simsun"/>
          <w:color w:val="323E32"/>
        </w:rPr>
        <w:t>填写，由中央财政按照核定的比例定期分配给各地区，列入相关地方收入科目。铁道部集中缴纳的企业所得税填开缴款书时，预算科目栏按</w:t>
      </w:r>
      <w:r>
        <w:rPr>
          <w:rFonts w:ascii="simsun" w:hAnsi="simsun"/>
          <w:color w:val="323E32"/>
        </w:rPr>
        <w:t>“101041701</w:t>
      </w:r>
      <w:r>
        <w:rPr>
          <w:rFonts w:ascii="simsun" w:hAnsi="simsun"/>
          <w:color w:val="323E32"/>
        </w:rPr>
        <w:t>铁道部集中缴纳的铁路运输企业所得税</w:t>
      </w:r>
      <w:r>
        <w:rPr>
          <w:rFonts w:ascii="simsun" w:hAnsi="simsun"/>
          <w:color w:val="323E32"/>
        </w:rPr>
        <w:t>”</w:t>
      </w:r>
      <w:r>
        <w:rPr>
          <w:rFonts w:ascii="simsun" w:hAnsi="simsun"/>
          <w:color w:val="323E32"/>
        </w:rPr>
        <w:t>填写，</w:t>
      </w:r>
      <w:r>
        <w:rPr>
          <w:rFonts w:ascii="simsun" w:hAnsi="simsun"/>
          <w:color w:val="323E32"/>
        </w:rPr>
        <w:t>“</w:t>
      </w:r>
      <w:r>
        <w:rPr>
          <w:rFonts w:ascii="simsun" w:hAnsi="simsun"/>
          <w:color w:val="323E32"/>
        </w:rPr>
        <w:t>级次</w:t>
      </w:r>
      <w:r>
        <w:rPr>
          <w:rFonts w:ascii="simsun" w:hAnsi="simsun"/>
          <w:color w:val="323E32"/>
        </w:rPr>
        <w:t>”</w:t>
      </w:r>
      <w:r>
        <w:rPr>
          <w:rFonts w:ascii="simsun" w:hAnsi="simsun"/>
          <w:color w:val="323E32"/>
        </w:rPr>
        <w:t>栏按</w:t>
      </w:r>
      <w:r>
        <w:rPr>
          <w:rFonts w:ascii="simsun" w:hAnsi="simsun"/>
          <w:color w:val="323E32"/>
        </w:rPr>
        <w:t>“</w:t>
      </w:r>
      <w:r>
        <w:rPr>
          <w:rFonts w:ascii="simsun" w:hAnsi="simsun"/>
          <w:color w:val="323E32"/>
        </w:rPr>
        <w:t>中央</w:t>
      </w:r>
      <w:r>
        <w:rPr>
          <w:rFonts w:ascii="simsun" w:hAnsi="simsun"/>
          <w:color w:val="323E32"/>
        </w:rPr>
        <w:t>60%</w:t>
      </w:r>
      <w:r>
        <w:rPr>
          <w:rFonts w:ascii="simsun" w:hAnsi="simsun"/>
          <w:color w:val="323E32"/>
        </w:rPr>
        <w:t>、中央</w:t>
      </w:r>
      <w:r>
        <w:rPr>
          <w:rFonts w:ascii="simsun" w:hAnsi="simsun"/>
          <w:color w:val="323E32"/>
        </w:rPr>
        <w:t>40%</w:t>
      </w:r>
      <w:r>
        <w:rPr>
          <w:rFonts w:ascii="simsun" w:hAnsi="simsun"/>
          <w:color w:val="323E32"/>
        </w:rPr>
        <w:t>（待分配）</w:t>
      </w:r>
      <w:r>
        <w:rPr>
          <w:rFonts w:ascii="simsun" w:hAnsi="simsun"/>
          <w:color w:val="323E32"/>
        </w:rPr>
        <w:t>”</w:t>
      </w:r>
      <w:r>
        <w:rPr>
          <w:rFonts w:ascii="simsun" w:hAnsi="simsun"/>
          <w:color w:val="323E32"/>
        </w:rPr>
        <w:t>填写。</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国库部门收到铁道部集中缴纳的铁路运输企业所得税税款后，将其中</w:t>
      </w:r>
      <w:r>
        <w:rPr>
          <w:rFonts w:ascii="simsun" w:hAnsi="simsun"/>
          <w:color w:val="323E32"/>
        </w:rPr>
        <w:t>60%</w:t>
      </w:r>
      <w:r>
        <w:rPr>
          <w:rFonts w:ascii="simsun" w:hAnsi="simsun"/>
          <w:color w:val="323E32"/>
        </w:rPr>
        <w:t>列入</w:t>
      </w:r>
      <w:r>
        <w:rPr>
          <w:rFonts w:ascii="simsun" w:hAnsi="simsun"/>
          <w:color w:val="323E32"/>
        </w:rPr>
        <w:t>“101041701</w:t>
      </w:r>
      <w:r>
        <w:rPr>
          <w:rFonts w:ascii="simsun" w:hAnsi="simsun"/>
          <w:color w:val="323E32"/>
        </w:rPr>
        <w:t>铁道部集中缴纳的铁路运输企业所得税</w:t>
      </w:r>
      <w:r>
        <w:rPr>
          <w:rFonts w:ascii="simsun" w:hAnsi="simsun"/>
          <w:color w:val="323E32"/>
        </w:rPr>
        <w:t>”</w:t>
      </w:r>
      <w:r>
        <w:rPr>
          <w:rFonts w:ascii="simsun" w:hAnsi="simsun"/>
          <w:color w:val="323E32"/>
        </w:rPr>
        <w:t>，</w:t>
      </w:r>
      <w:r>
        <w:rPr>
          <w:rFonts w:ascii="simsun" w:hAnsi="simsun"/>
          <w:color w:val="323E32"/>
        </w:rPr>
        <w:t>40%</w:t>
      </w:r>
      <w:r>
        <w:rPr>
          <w:rFonts w:ascii="simsun" w:hAnsi="simsun"/>
          <w:color w:val="323E32"/>
        </w:rPr>
        <w:t>列入</w:t>
      </w:r>
      <w:r>
        <w:rPr>
          <w:rFonts w:ascii="simsun" w:hAnsi="simsun"/>
          <w:color w:val="323E32"/>
        </w:rPr>
        <w:t>“101041702</w:t>
      </w:r>
      <w:r>
        <w:rPr>
          <w:rFonts w:ascii="simsun" w:hAnsi="simsun"/>
          <w:color w:val="323E32"/>
        </w:rPr>
        <w:t>铁道部集中缴纳的铁路运输企业所得税待分配收入</w:t>
      </w:r>
      <w:r>
        <w:rPr>
          <w:rFonts w:ascii="simsun" w:hAnsi="simsun"/>
          <w:color w:val="323E32"/>
        </w:rPr>
        <w:t>”</w:t>
      </w:r>
      <w:r>
        <w:rPr>
          <w:rFonts w:ascii="simsun" w:hAnsi="simsun"/>
          <w:color w:val="323E32"/>
        </w:rPr>
        <w:t>。列入</w:t>
      </w:r>
      <w:r>
        <w:rPr>
          <w:rFonts w:ascii="simsun" w:hAnsi="simsun"/>
          <w:color w:val="323E32"/>
        </w:rPr>
        <w:t>“101041702</w:t>
      </w:r>
      <w:r>
        <w:rPr>
          <w:rFonts w:ascii="simsun" w:hAnsi="simsun"/>
          <w:color w:val="323E32"/>
        </w:rPr>
        <w:t>铁道部集中缴纳的铁路运输企业所得税待分配收入</w:t>
      </w:r>
      <w:r>
        <w:rPr>
          <w:rFonts w:ascii="simsun" w:hAnsi="simsun"/>
          <w:color w:val="323E32"/>
        </w:rPr>
        <w:t>”</w:t>
      </w:r>
      <w:r>
        <w:rPr>
          <w:rFonts w:ascii="simsun" w:hAnsi="simsun"/>
          <w:color w:val="323E32"/>
        </w:rPr>
        <w:t>部分，由中央财政按照核定的比例定期分配给各地区，列入相关地方收入科目。</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（二）跨省合资铁路企业税收缴库程序。</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跨省合资铁路企业缴纳的营业税和企业所得税，由注册地和非注册地主管税务机关根据中央财政核定的分配比例确定当地应缴库金额后，就地办理缴库，各地分享税收的具体入库办法另行下达。</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五、其他</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（一）</w:t>
      </w:r>
      <w:r>
        <w:rPr>
          <w:rFonts w:ascii="simsun" w:hAnsi="simsun"/>
          <w:color w:val="323E32"/>
        </w:rPr>
        <w:t>2011</w:t>
      </w:r>
      <w:r>
        <w:rPr>
          <w:rFonts w:ascii="simsun" w:hAnsi="simsun"/>
          <w:color w:val="323E32"/>
        </w:rPr>
        <w:t>年度及以前铁道部集中缴纳的铁路运输企业超缴、欠缴和漏缴的营业税、企业所得税（含中铁快运股份有限公司缴纳的企业所得税）、城市维护建设税和教育费附加，按照新的中央与地方收入划分和地方收入分配办法执行。</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（二）对</w:t>
      </w:r>
      <w:r>
        <w:rPr>
          <w:rFonts w:ascii="simsun" w:hAnsi="simsun"/>
          <w:color w:val="323E32"/>
        </w:rPr>
        <w:t>2012</w:t>
      </w:r>
      <w:r>
        <w:rPr>
          <w:rFonts w:ascii="simsun" w:hAnsi="simsun"/>
          <w:color w:val="323E32"/>
        </w:rPr>
        <w:t>年铁道部已经集中缴入中央国库的铁路运输企业营业税、城市维护建设税、教育费附加和地方分享的企业所得税（含中铁快运股份有限公司缴纳的企业所得税），由财政部、中国人民银行按照核定的分配比例调整为各地方收入。</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（三）对</w:t>
      </w:r>
      <w:r>
        <w:rPr>
          <w:rFonts w:ascii="simsun" w:hAnsi="simsun"/>
          <w:color w:val="323E32"/>
        </w:rPr>
        <w:t>2012</w:t>
      </w:r>
      <w:r>
        <w:rPr>
          <w:rFonts w:ascii="simsun" w:hAnsi="simsun"/>
          <w:color w:val="323E32"/>
        </w:rPr>
        <w:t>年已经就地缴入注册地国库的跨省合资铁路营业税和企业所得税（地方分享</w:t>
      </w:r>
      <w:r>
        <w:rPr>
          <w:rFonts w:ascii="simsun" w:hAnsi="simsun"/>
          <w:color w:val="323E32"/>
        </w:rPr>
        <w:t>40%</w:t>
      </w:r>
      <w:r>
        <w:rPr>
          <w:rFonts w:ascii="simsun" w:hAnsi="simsun"/>
          <w:color w:val="323E32"/>
        </w:rPr>
        <w:t>部分）中，按照中央财政核定的比例应属于其他省市分享的部分，年终结算时，由注册</w:t>
      </w:r>
      <w:proofErr w:type="gramStart"/>
      <w:r>
        <w:rPr>
          <w:rFonts w:ascii="simsun" w:hAnsi="simsun"/>
          <w:color w:val="323E32"/>
        </w:rPr>
        <w:t>地财政</w:t>
      </w:r>
      <w:proofErr w:type="gramEnd"/>
      <w:r>
        <w:rPr>
          <w:rFonts w:ascii="simsun" w:hAnsi="simsun"/>
          <w:color w:val="323E32"/>
        </w:rPr>
        <w:t>上解中央财政，再由中央财政分配到相关地区。</w:t>
      </w:r>
    </w:p>
    <w:p w:rsidR="00417AD9" w:rsidRDefault="00417AD9" w:rsidP="00417AD9">
      <w:pPr>
        <w:pStyle w:val="a5"/>
        <w:spacing w:line="360" w:lineRule="auto"/>
        <w:rPr>
          <w:rFonts w:ascii="simsun" w:hAnsi="simsun"/>
          <w:color w:val="323E32"/>
          <w:sz w:val="21"/>
          <w:szCs w:val="21"/>
        </w:rPr>
      </w:pPr>
      <w:r>
        <w:rPr>
          <w:rFonts w:ascii="simsun" w:hAnsi="simsun"/>
          <w:color w:val="323E32"/>
        </w:rPr>
        <w:lastRenderedPageBreak/>
        <w:t xml:space="preserve">　　（四）财政部于每年</w:t>
      </w:r>
      <w:r>
        <w:rPr>
          <w:rFonts w:ascii="simsun" w:hAnsi="simsun"/>
          <w:color w:val="323E32"/>
        </w:rPr>
        <w:t>1</w:t>
      </w:r>
      <w:r>
        <w:rPr>
          <w:rFonts w:ascii="simsun" w:hAnsi="simsun"/>
          <w:color w:val="323E32"/>
        </w:rPr>
        <w:t>月初按中央总金库截至上年</w:t>
      </w:r>
      <w:r>
        <w:rPr>
          <w:rFonts w:ascii="simsun" w:hAnsi="simsun"/>
          <w:color w:val="323E32"/>
        </w:rPr>
        <w:t>12</w:t>
      </w:r>
      <w:r>
        <w:rPr>
          <w:rFonts w:ascii="simsun" w:hAnsi="simsun"/>
          <w:color w:val="323E32"/>
        </w:rPr>
        <w:t>月</w:t>
      </w:r>
      <w:r>
        <w:rPr>
          <w:rFonts w:ascii="simsun" w:hAnsi="simsun"/>
          <w:color w:val="323E32"/>
        </w:rPr>
        <w:t>31</w:t>
      </w:r>
      <w:r>
        <w:rPr>
          <w:rFonts w:ascii="simsun" w:hAnsi="simsun"/>
          <w:color w:val="323E32"/>
        </w:rPr>
        <w:t>日的铁道部集中缴纳的铁路运输企业营业税、企业所得税（含中铁快运股份有限公司缴纳的企业所得税）、城市维护建设税和教育费附加待分配收入进行分配，并在库款报解整理期（</w:t>
      </w:r>
      <w:r>
        <w:rPr>
          <w:rFonts w:ascii="simsun" w:hAnsi="simsun"/>
          <w:color w:val="323E32"/>
        </w:rPr>
        <w:t>1</w:t>
      </w:r>
      <w:r>
        <w:rPr>
          <w:rFonts w:ascii="simsun" w:hAnsi="simsun"/>
          <w:color w:val="323E32"/>
        </w:rPr>
        <w:t>月</w:t>
      </w:r>
      <w:r>
        <w:rPr>
          <w:rFonts w:ascii="simsun" w:hAnsi="simsun"/>
          <w:color w:val="323E32"/>
        </w:rPr>
        <w:t>1</w:t>
      </w:r>
      <w:r>
        <w:rPr>
          <w:rFonts w:ascii="simsun" w:hAnsi="simsun"/>
          <w:color w:val="323E32"/>
        </w:rPr>
        <w:t>日至</w:t>
      </w:r>
      <w:r>
        <w:rPr>
          <w:rFonts w:ascii="simsun" w:hAnsi="simsun"/>
          <w:color w:val="323E32"/>
        </w:rPr>
        <w:t>1</w:t>
      </w:r>
      <w:r>
        <w:rPr>
          <w:rFonts w:ascii="simsun" w:hAnsi="simsun"/>
          <w:color w:val="323E32"/>
        </w:rPr>
        <w:t>月</w:t>
      </w:r>
      <w:r>
        <w:rPr>
          <w:rFonts w:ascii="simsun" w:hAnsi="simsun"/>
          <w:color w:val="323E32"/>
        </w:rPr>
        <w:t>10</w:t>
      </w:r>
      <w:r>
        <w:rPr>
          <w:rFonts w:ascii="simsun" w:hAnsi="simsun"/>
          <w:color w:val="323E32"/>
        </w:rPr>
        <w:t>日）内划转至地方国库；地方国库收到下划资金后，金额纳入上年度地方预算收入。地方财政列入上年度收入决算。各省市分库在</w:t>
      </w:r>
      <w:r>
        <w:rPr>
          <w:rFonts w:ascii="simsun" w:hAnsi="simsun"/>
          <w:color w:val="323E32"/>
        </w:rPr>
        <w:t>12</w:t>
      </w:r>
      <w:r>
        <w:rPr>
          <w:rFonts w:ascii="simsun" w:hAnsi="simsun"/>
          <w:color w:val="323E32"/>
        </w:rPr>
        <w:t>月</w:t>
      </w:r>
      <w:r>
        <w:rPr>
          <w:rFonts w:ascii="simsun" w:hAnsi="simsun"/>
          <w:color w:val="323E32"/>
        </w:rPr>
        <w:t>31</w:t>
      </w:r>
      <w:r>
        <w:rPr>
          <w:rFonts w:ascii="simsun" w:hAnsi="simsun"/>
          <w:color w:val="323E32"/>
        </w:rPr>
        <w:t>日向中央总金库报解最后一份中央预算收入日报表后，整理期内再收纳的铁道部集中缴纳的铁路运输企业营业税、企业所得税（含中铁快运股份有限公司缴纳的企业所得税）、城市维护建设税和教育费附加，统一作为新年度的缴库收入处理。</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（五）已经达成跨省分配协议的合资铁路税收，可按照明确后的跨省合资铁路收入分享入库办法执行。</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（六）当年新投入运营的跨省合资铁路，其缴纳的税收暂按里程因素所占比例在相关地区分配，第二年开始按照相关省份铁路客、货运周转量和运营里程等因素所占比例在相关地区分配。</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（七）财政部驻各地财政监察专员办事处要加强对跨省合资铁路企业税收分配情况的监督检查。</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附件：</w:t>
      </w:r>
      <w:r>
        <w:rPr>
          <w:rFonts w:ascii="simsun" w:hAnsi="simsun"/>
          <w:color w:val="323E32"/>
        </w:rPr>
        <w:t>1.</w:t>
      </w:r>
      <w:r>
        <w:rPr>
          <w:rFonts w:ascii="simsun" w:hAnsi="simsun"/>
          <w:color w:val="323E32"/>
        </w:rPr>
        <w:t>铁道部集中缴纳的铁路运输企业税收收入分配比例情况表</w:t>
      </w:r>
    </w:p>
    <w:p w:rsidR="00417AD9" w:rsidRDefault="00417AD9" w:rsidP="00417AD9">
      <w:pPr>
        <w:pStyle w:val="a5"/>
        <w:spacing w:line="360" w:lineRule="auto"/>
        <w:rPr>
          <w:rFonts w:ascii="simsun" w:hAnsi="simsun"/>
          <w:color w:val="323E32"/>
          <w:sz w:val="21"/>
          <w:szCs w:val="21"/>
        </w:rPr>
      </w:pPr>
      <w:r>
        <w:rPr>
          <w:rFonts w:ascii="simsun" w:hAnsi="simsun"/>
          <w:color w:val="323E32"/>
        </w:rPr>
        <w:t xml:space="preserve">　　</w:t>
      </w:r>
      <w:r>
        <w:rPr>
          <w:rFonts w:ascii="simsun" w:hAnsi="simsun"/>
          <w:color w:val="323E32"/>
        </w:rPr>
        <w:t>2.</w:t>
      </w:r>
      <w:r>
        <w:rPr>
          <w:rFonts w:ascii="simsun" w:hAnsi="simsun"/>
          <w:color w:val="323E32"/>
        </w:rPr>
        <w:t>跨省合资铁路税收收入分配比例情况表</w:t>
      </w:r>
    </w:p>
    <w:p w:rsidR="00417AD9" w:rsidRDefault="00417AD9" w:rsidP="00417AD9">
      <w:pPr>
        <w:pStyle w:val="a5"/>
        <w:spacing w:line="360" w:lineRule="auto"/>
        <w:rPr>
          <w:rFonts w:ascii="simsun" w:hAnsi="simsun"/>
          <w:color w:val="323E32"/>
          <w:sz w:val="21"/>
          <w:szCs w:val="21"/>
        </w:rPr>
      </w:pPr>
      <w:r>
        <w:rPr>
          <w:rFonts w:ascii="simsun" w:hAnsi="simsun"/>
          <w:color w:val="323E32"/>
          <w:sz w:val="21"/>
          <w:szCs w:val="21"/>
        </w:rPr>
        <w:br/>
      </w:r>
      <w:r>
        <w:rPr>
          <w:rFonts w:ascii="simsun" w:hAnsi="simsun"/>
          <w:color w:val="323E32"/>
        </w:rPr>
        <w:t xml:space="preserve">　　财政部</w:t>
      </w:r>
      <w:r>
        <w:rPr>
          <w:rFonts w:ascii="simsun" w:hAnsi="simsun"/>
          <w:color w:val="323E32"/>
        </w:rPr>
        <w:t xml:space="preserve">  </w:t>
      </w:r>
      <w:r>
        <w:rPr>
          <w:rFonts w:ascii="simsun" w:hAnsi="simsun"/>
          <w:color w:val="323E32"/>
        </w:rPr>
        <w:t>国家税务总局</w:t>
      </w:r>
      <w:r>
        <w:rPr>
          <w:rFonts w:ascii="simsun" w:hAnsi="simsun"/>
          <w:color w:val="323E32"/>
        </w:rPr>
        <w:t xml:space="preserve">  </w:t>
      </w:r>
      <w:r>
        <w:rPr>
          <w:rFonts w:ascii="simsun" w:hAnsi="simsun"/>
          <w:color w:val="323E32"/>
        </w:rPr>
        <w:t>中国人民银行</w:t>
      </w:r>
    </w:p>
    <w:p w:rsidR="0010642E" w:rsidRPr="00417AD9" w:rsidRDefault="00417AD9" w:rsidP="00417AD9">
      <w:pPr>
        <w:pStyle w:val="a5"/>
        <w:spacing w:line="360" w:lineRule="auto"/>
        <w:rPr>
          <w:rFonts w:ascii="simsun" w:hAnsi="simsun"/>
          <w:color w:val="323E32"/>
          <w:sz w:val="21"/>
          <w:szCs w:val="21"/>
        </w:rPr>
      </w:pPr>
      <w:r>
        <w:rPr>
          <w:rFonts w:ascii="simsun" w:hAnsi="simsun"/>
          <w:color w:val="323E32"/>
        </w:rPr>
        <w:t xml:space="preserve">　　</w:t>
      </w:r>
      <w:r>
        <w:rPr>
          <w:rFonts w:ascii="simsun" w:hAnsi="simsun"/>
          <w:color w:val="323E32"/>
        </w:rPr>
        <w:t>2012</w:t>
      </w:r>
      <w:r>
        <w:rPr>
          <w:rFonts w:ascii="simsun" w:hAnsi="simsun"/>
          <w:color w:val="323E32"/>
        </w:rPr>
        <w:t>年</w:t>
      </w:r>
      <w:r>
        <w:rPr>
          <w:rFonts w:ascii="simsun" w:hAnsi="simsun"/>
          <w:color w:val="323E32"/>
        </w:rPr>
        <w:t>9</w:t>
      </w:r>
      <w:r>
        <w:rPr>
          <w:rFonts w:ascii="simsun" w:hAnsi="simsun"/>
          <w:color w:val="323E32"/>
        </w:rPr>
        <w:t>月</w:t>
      </w:r>
      <w:r>
        <w:rPr>
          <w:rFonts w:ascii="simsun" w:hAnsi="simsun"/>
          <w:color w:val="323E32"/>
        </w:rPr>
        <w:t>7</w:t>
      </w:r>
      <w:r>
        <w:rPr>
          <w:rFonts w:ascii="simsun" w:hAnsi="simsun"/>
          <w:color w:val="323E32"/>
        </w:rPr>
        <w:t>日</w:t>
      </w:r>
      <w:r>
        <w:rPr>
          <w:rFonts w:ascii="simsun" w:hAnsi="simsun"/>
          <w:color w:val="323E32"/>
          <w:sz w:val="21"/>
          <w:szCs w:val="21"/>
        </w:rPr>
        <w:t xml:space="preserve"> </w:t>
      </w:r>
    </w:p>
    <w:sectPr w:rsidR="0010642E" w:rsidRPr="00417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57" w:rsidRDefault="00FA1757" w:rsidP="00417AD9">
      <w:r>
        <w:separator/>
      </w:r>
    </w:p>
  </w:endnote>
  <w:endnote w:type="continuationSeparator" w:id="0">
    <w:p w:rsidR="00FA1757" w:rsidRDefault="00FA1757" w:rsidP="0041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57" w:rsidRDefault="00FA1757" w:rsidP="00417AD9">
      <w:r>
        <w:separator/>
      </w:r>
    </w:p>
  </w:footnote>
  <w:footnote w:type="continuationSeparator" w:id="0">
    <w:p w:rsidR="00FA1757" w:rsidRDefault="00FA1757" w:rsidP="00417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A0"/>
    <w:rsid w:val="0010642E"/>
    <w:rsid w:val="00417AD9"/>
    <w:rsid w:val="00EB3FA0"/>
    <w:rsid w:val="00FA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7AD9"/>
    <w:rPr>
      <w:sz w:val="18"/>
      <w:szCs w:val="18"/>
    </w:rPr>
  </w:style>
  <w:style w:type="paragraph" w:styleId="a4">
    <w:name w:val="footer"/>
    <w:basedOn w:val="a"/>
    <w:link w:val="Char0"/>
    <w:uiPriority w:val="99"/>
    <w:unhideWhenUsed/>
    <w:rsid w:val="00417AD9"/>
    <w:pPr>
      <w:tabs>
        <w:tab w:val="center" w:pos="4153"/>
        <w:tab w:val="right" w:pos="8306"/>
      </w:tabs>
      <w:snapToGrid w:val="0"/>
      <w:jc w:val="left"/>
    </w:pPr>
    <w:rPr>
      <w:sz w:val="18"/>
      <w:szCs w:val="18"/>
    </w:rPr>
  </w:style>
  <w:style w:type="character" w:customStyle="1" w:styleId="Char0">
    <w:name w:val="页脚 Char"/>
    <w:basedOn w:val="a0"/>
    <w:link w:val="a4"/>
    <w:uiPriority w:val="99"/>
    <w:rsid w:val="00417AD9"/>
    <w:rPr>
      <w:sz w:val="18"/>
      <w:szCs w:val="18"/>
    </w:rPr>
  </w:style>
  <w:style w:type="paragraph" w:styleId="a5">
    <w:name w:val="Normal (Web)"/>
    <w:basedOn w:val="a"/>
    <w:uiPriority w:val="99"/>
    <w:unhideWhenUsed/>
    <w:rsid w:val="00417A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7AD9"/>
    <w:rPr>
      <w:sz w:val="18"/>
      <w:szCs w:val="18"/>
    </w:rPr>
  </w:style>
  <w:style w:type="paragraph" w:styleId="a4">
    <w:name w:val="footer"/>
    <w:basedOn w:val="a"/>
    <w:link w:val="Char0"/>
    <w:uiPriority w:val="99"/>
    <w:unhideWhenUsed/>
    <w:rsid w:val="00417AD9"/>
    <w:pPr>
      <w:tabs>
        <w:tab w:val="center" w:pos="4153"/>
        <w:tab w:val="right" w:pos="8306"/>
      </w:tabs>
      <w:snapToGrid w:val="0"/>
      <w:jc w:val="left"/>
    </w:pPr>
    <w:rPr>
      <w:sz w:val="18"/>
      <w:szCs w:val="18"/>
    </w:rPr>
  </w:style>
  <w:style w:type="character" w:customStyle="1" w:styleId="Char0">
    <w:name w:val="页脚 Char"/>
    <w:basedOn w:val="a0"/>
    <w:link w:val="a4"/>
    <w:uiPriority w:val="99"/>
    <w:rsid w:val="00417AD9"/>
    <w:rPr>
      <w:sz w:val="18"/>
      <w:szCs w:val="18"/>
    </w:rPr>
  </w:style>
  <w:style w:type="paragraph" w:styleId="a5">
    <w:name w:val="Normal (Web)"/>
    <w:basedOn w:val="a"/>
    <w:uiPriority w:val="99"/>
    <w:unhideWhenUsed/>
    <w:rsid w:val="00417A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47911">
      <w:bodyDiv w:val="1"/>
      <w:marLeft w:val="0"/>
      <w:marRight w:val="0"/>
      <w:marTop w:val="0"/>
      <w:marBottom w:val="0"/>
      <w:divBdr>
        <w:top w:val="none" w:sz="0" w:space="0" w:color="auto"/>
        <w:left w:val="none" w:sz="0" w:space="0" w:color="auto"/>
        <w:bottom w:val="none" w:sz="0" w:space="0" w:color="auto"/>
        <w:right w:val="none" w:sz="0" w:space="0" w:color="auto"/>
      </w:divBdr>
      <w:divsChild>
        <w:div w:id="1145006554">
          <w:marLeft w:val="0"/>
          <w:marRight w:val="0"/>
          <w:marTop w:val="0"/>
          <w:marBottom w:val="0"/>
          <w:divBdr>
            <w:top w:val="none" w:sz="0" w:space="0" w:color="auto"/>
            <w:left w:val="none" w:sz="0" w:space="0" w:color="auto"/>
            <w:bottom w:val="none" w:sz="0" w:space="0" w:color="auto"/>
            <w:right w:val="none" w:sz="0" w:space="0" w:color="auto"/>
          </w:divBdr>
          <w:divsChild>
            <w:div w:id="1098868758">
              <w:marLeft w:val="0"/>
              <w:marRight w:val="0"/>
              <w:marTop w:val="0"/>
              <w:marBottom w:val="0"/>
              <w:divBdr>
                <w:top w:val="none" w:sz="0" w:space="0" w:color="auto"/>
                <w:left w:val="none" w:sz="0" w:space="0" w:color="auto"/>
                <w:bottom w:val="none" w:sz="0" w:space="0" w:color="auto"/>
                <w:right w:val="none" w:sz="0" w:space="0" w:color="auto"/>
              </w:divBdr>
              <w:divsChild>
                <w:div w:id="1192574688">
                  <w:marLeft w:val="0"/>
                  <w:marRight w:val="0"/>
                  <w:marTop w:val="0"/>
                  <w:marBottom w:val="0"/>
                  <w:divBdr>
                    <w:top w:val="none" w:sz="0" w:space="0" w:color="auto"/>
                    <w:left w:val="none" w:sz="0" w:space="0" w:color="auto"/>
                    <w:bottom w:val="none" w:sz="0" w:space="0" w:color="auto"/>
                    <w:right w:val="none" w:sz="0" w:space="0" w:color="auto"/>
                  </w:divBdr>
                  <w:divsChild>
                    <w:div w:id="1685470331">
                      <w:marLeft w:val="150"/>
                      <w:marRight w:val="0"/>
                      <w:marTop w:val="0"/>
                      <w:marBottom w:val="0"/>
                      <w:divBdr>
                        <w:top w:val="none" w:sz="0" w:space="0" w:color="auto"/>
                        <w:left w:val="none" w:sz="0" w:space="0" w:color="auto"/>
                        <w:bottom w:val="none" w:sz="0" w:space="0" w:color="auto"/>
                        <w:right w:val="none" w:sz="0" w:space="0" w:color="auto"/>
                      </w:divBdr>
                      <w:divsChild>
                        <w:div w:id="849030490">
                          <w:marLeft w:val="0"/>
                          <w:marRight w:val="0"/>
                          <w:marTop w:val="0"/>
                          <w:marBottom w:val="150"/>
                          <w:divBdr>
                            <w:top w:val="none" w:sz="0" w:space="0" w:color="auto"/>
                            <w:left w:val="none" w:sz="0" w:space="0" w:color="auto"/>
                            <w:bottom w:val="none" w:sz="0" w:space="0" w:color="auto"/>
                            <w:right w:val="none" w:sz="0" w:space="0" w:color="auto"/>
                          </w:divBdr>
                          <w:divsChild>
                            <w:div w:id="422527709">
                              <w:marLeft w:val="0"/>
                              <w:marRight w:val="0"/>
                              <w:marTop w:val="0"/>
                              <w:marBottom w:val="0"/>
                              <w:divBdr>
                                <w:top w:val="none" w:sz="0" w:space="0" w:color="auto"/>
                                <w:left w:val="none" w:sz="0" w:space="0" w:color="auto"/>
                                <w:bottom w:val="none" w:sz="0" w:space="0" w:color="auto"/>
                                <w:right w:val="none" w:sz="0" w:space="0" w:color="auto"/>
                              </w:divBdr>
                              <w:divsChild>
                                <w:div w:id="180557870">
                                  <w:marLeft w:val="0"/>
                                  <w:marRight w:val="0"/>
                                  <w:marTop w:val="0"/>
                                  <w:marBottom w:val="0"/>
                                  <w:divBdr>
                                    <w:top w:val="none" w:sz="0" w:space="0" w:color="auto"/>
                                    <w:left w:val="none" w:sz="0" w:space="0" w:color="auto"/>
                                    <w:bottom w:val="none" w:sz="0" w:space="0" w:color="auto"/>
                                    <w:right w:val="none" w:sz="0" w:space="0" w:color="auto"/>
                                  </w:divBdr>
                                  <w:divsChild>
                                    <w:div w:id="3054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550</Words>
  <Characters>3140</Characters>
  <Application>Microsoft Office Word</Application>
  <DocSecurity>0</DocSecurity>
  <Lines>26</Lines>
  <Paragraphs>7</Paragraphs>
  <ScaleCrop>false</ScaleCrop>
  <Company>微软中国</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2013-08-22T06:22:00Z</dcterms:created>
  <dcterms:modified xsi:type="dcterms:W3CDTF">2013-08-22T06:24:00Z</dcterms:modified>
</cp:coreProperties>
</file>