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E36" w:rsidRDefault="00C50E36">
      <w:pPr>
        <w:rPr>
          <w:rFonts w:ascii="黑体" w:eastAsia="黑体" w:hAnsi="宋体" w:cs="宋体" w:hint="eastAsia"/>
          <w:b/>
          <w:bCs/>
          <w:color w:val="CC0000"/>
          <w:kern w:val="0"/>
          <w:sz w:val="27"/>
          <w:szCs w:val="27"/>
        </w:rPr>
      </w:pPr>
      <w:r w:rsidRPr="00C50E36">
        <w:rPr>
          <w:rFonts w:ascii="黑体" w:eastAsia="黑体" w:hAnsi="宋体" w:cs="宋体"/>
          <w:b/>
          <w:bCs/>
          <w:color w:val="CC0000"/>
          <w:kern w:val="0"/>
          <w:sz w:val="27"/>
          <w:szCs w:val="27"/>
        </w:rPr>
        <w:t>国家税务总局关于出口企业申报出口货物退（免）税提供收汇资料有关问题的公告</w:t>
      </w:r>
    </w:p>
    <w:p w:rsidR="00C50E36" w:rsidRDefault="00C50E36">
      <w:pPr>
        <w:rPr>
          <w:rFonts w:ascii="黑体" w:eastAsia="黑体" w:hAnsi="宋体" w:cs="宋体" w:hint="eastAsia"/>
          <w:b/>
          <w:bCs/>
          <w:color w:val="323E32"/>
          <w:kern w:val="0"/>
          <w:sz w:val="27"/>
          <w:szCs w:val="27"/>
        </w:rPr>
      </w:pPr>
      <w:r w:rsidRPr="00C50E36">
        <w:rPr>
          <w:rFonts w:ascii="黑体" w:eastAsia="黑体" w:hAnsi="宋体" w:cs="宋体"/>
          <w:b/>
          <w:bCs/>
          <w:color w:val="323E32"/>
          <w:kern w:val="0"/>
          <w:sz w:val="27"/>
          <w:szCs w:val="27"/>
        </w:rPr>
        <w:t>国家税务总局公告2013年第30号</w:t>
      </w:r>
      <w:bookmarkStart w:id="0" w:name="_GoBack"/>
      <w:bookmarkEnd w:id="0"/>
    </w:p>
    <w:p w:rsidR="00C50E36" w:rsidRDefault="00C50E36">
      <w:pPr>
        <w:rPr>
          <w:rFonts w:ascii="宋体" w:eastAsia="宋体" w:hAnsi="宋体" w:cs="宋体" w:hint="eastAsia"/>
          <w:color w:val="323E32"/>
          <w:kern w:val="0"/>
          <w:sz w:val="24"/>
          <w:szCs w:val="24"/>
        </w:rPr>
      </w:pPr>
      <w:r w:rsidRPr="00C50E36">
        <w:rPr>
          <w:rFonts w:ascii="宋体" w:eastAsia="宋体" w:hAnsi="宋体" w:cs="宋体"/>
          <w:color w:val="323E32"/>
          <w:kern w:val="0"/>
          <w:sz w:val="24"/>
          <w:szCs w:val="24"/>
        </w:rPr>
        <w:t>发文日期：2013-06-09</w:t>
      </w:r>
    </w:p>
    <w:p w:rsidR="00C50E36" w:rsidRPr="00C50E36" w:rsidRDefault="00C50E36" w:rsidP="00C50E36">
      <w:pPr>
        <w:widowControl/>
        <w:spacing w:line="400" w:lineRule="atLeast"/>
        <w:ind w:firstLine="480"/>
        <w:rPr>
          <w:rFonts w:ascii="宋体" w:eastAsia="宋体" w:hAnsi="宋体" w:cs="宋体"/>
          <w:color w:val="323E32"/>
          <w:kern w:val="0"/>
          <w:sz w:val="24"/>
          <w:szCs w:val="24"/>
        </w:rPr>
      </w:pPr>
      <w:r w:rsidRPr="00C50E36">
        <w:rPr>
          <w:rFonts w:ascii="宋体" w:eastAsia="宋体" w:hAnsi="宋体" w:cs="宋体" w:hint="eastAsia"/>
          <w:color w:val="323E32"/>
          <w:kern w:val="0"/>
          <w:sz w:val="24"/>
          <w:szCs w:val="24"/>
        </w:rPr>
        <w:t>为了准确计算、审核办理出口退（免）税，核实出口业务的真实性，防范骗取出口退税违法行为的发生，根据《国务院关于调低出口退税率加强出口退税管理的通知》（国发明电〔1995〕3号）、《国家外汇管理局海关总署国家税务总局关于货物贸易外汇管理制度改革的公告》（国家外汇管理局公告2012年第1号）的有关规定，现将出口企业申报出口货物退（免）税提供收汇资料的有关问题公告如下：</w:t>
      </w:r>
    </w:p>
    <w:p w:rsidR="00C50E36" w:rsidRPr="00C50E36" w:rsidRDefault="00C50E36" w:rsidP="00C50E36">
      <w:pPr>
        <w:widowControl/>
        <w:spacing w:line="400" w:lineRule="atLeast"/>
        <w:ind w:firstLine="480"/>
        <w:rPr>
          <w:rFonts w:ascii="宋体" w:eastAsia="宋体" w:hAnsi="宋体" w:cs="宋体"/>
          <w:color w:val="323E32"/>
          <w:kern w:val="0"/>
          <w:sz w:val="24"/>
          <w:szCs w:val="24"/>
        </w:rPr>
      </w:pPr>
      <w:r w:rsidRPr="00C50E36">
        <w:rPr>
          <w:rFonts w:ascii="宋体" w:eastAsia="宋体" w:hAnsi="宋体" w:cs="宋体" w:hint="eastAsia"/>
          <w:color w:val="323E32"/>
          <w:kern w:val="0"/>
          <w:sz w:val="24"/>
          <w:szCs w:val="24"/>
        </w:rPr>
        <w:t>一、出口企业申报退（免）税的出口货物，须在退（免）税申报期截止之日内收汇（跨境贸易人民币结算的为收取人民币,下同），并按本公告的规定提供收汇资料；未在退（免）税申报期截止之日内收汇的出口货物，除本公告第五条所列不能收汇或不能在出口货物退（免）税申报期的截止之日内收汇的出口货物外，适用增值税免税政策。</w:t>
      </w:r>
    </w:p>
    <w:p w:rsidR="00C50E36" w:rsidRPr="00C50E36" w:rsidRDefault="00C50E36" w:rsidP="00C50E36">
      <w:pPr>
        <w:widowControl/>
        <w:spacing w:line="400" w:lineRule="atLeast"/>
        <w:ind w:firstLine="480"/>
        <w:rPr>
          <w:rFonts w:ascii="宋体" w:eastAsia="宋体" w:hAnsi="宋体" w:cs="宋体"/>
          <w:color w:val="323E32"/>
          <w:kern w:val="0"/>
          <w:sz w:val="24"/>
          <w:szCs w:val="24"/>
        </w:rPr>
      </w:pPr>
      <w:r w:rsidRPr="00C50E36">
        <w:rPr>
          <w:rFonts w:ascii="宋体" w:eastAsia="宋体" w:hAnsi="宋体" w:cs="宋体" w:hint="eastAsia"/>
          <w:color w:val="323E32"/>
          <w:kern w:val="0"/>
          <w:sz w:val="24"/>
          <w:szCs w:val="24"/>
        </w:rPr>
        <w:t>二、有下列情形之一的出口企业，在申报退（免）税时，对已收汇的出口货物，应填报《出口货物收汇申报表》（附件1），并提供该货物银行结汇水单等出口收汇凭证（跨境贸易人民币结算的为收取人民币的收款凭证,原件和盖有企业公章的复印件，下同）；对暂未收汇的出口货物，生产企业应在《生产企业出口货物免、抵、退税申报明细表》的“单证不齐标志”栏（第20栏）中填写“W”,暂不参与免抵退税计算，待收汇并填报《出口货物收汇申报表》后，方可参与免抵退税计算；对不能收汇或不能在出口货物退（免）税申报期的截止之日内收汇的属于本公告第五条所列的出口货物，按本公告第五条的规定办理：</w:t>
      </w:r>
    </w:p>
    <w:p w:rsidR="00C50E36" w:rsidRPr="00C50E36" w:rsidRDefault="00C50E36" w:rsidP="00C50E36">
      <w:pPr>
        <w:widowControl/>
        <w:spacing w:line="400" w:lineRule="atLeast"/>
        <w:ind w:firstLine="480"/>
        <w:rPr>
          <w:rFonts w:ascii="宋体" w:eastAsia="宋体" w:hAnsi="宋体" w:cs="宋体"/>
          <w:color w:val="323E32"/>
          <w:kern w:val="0"/>
          <w:sz w:val="24"/>
          <w:szCs w:val="24"/>
        </w:rPr>
      </w:pPr>
      <w:r w:rsidRPr="00C50E36">
        <w:rPr>
          <w:rFonts w:ascii="宋体" w:eastAsia="宋体" w:hAnsi="宋体" w:cs="宋体" w:hint="eastAsia"/>
          <w:color w:val="323E32"/>
          <w:kern w:val="0"/>
          <w:sz w:val="24"/>
          <w:szCs w:val="24"/>
        </w:rPr>
        <w:t>（一）被外汇管理部门列为B、C类企业的；</w:t>
      </w:r>
    </w:p>
    <w:p w:rsidR="00C50E36" w:rsidRPr="00C50E36" w:rsidRDefault="00C50E36" w:rsidP="00C50E36">
      <w:pPr>
        <w:widowControl/>
        <w:spacing w:line="400" w:lineRule="atLeast"/>
        <w:ind w:firstLine="480"/>
        <w:rPr>
          <w:rFonts w:ascii="宋体" w:eastAsia="宋体" w:hAnsi="宋体" w:cs="宋体"/>
          <w:color w:val="323E32"/>
          <w:kern w:val="0"/>
          <w:sz w:val="24"/>
          <w:szCs w:val="24"/>
        </w:rPr>
      </w:pPr>
      <w:r w:rsidRPr="00C50E36">
        <w:rPr>
          <w:rFonts w:ascii="宋体" w:eastAsia="宋体" w:hAnsi="宋体" w:cs="宋体" w:hint="eastAsia"/>
          <w:color w:val="323E32"/>
          <w:kern w:val="0"/>
          <w:sz w:val="24"/>
          <w:szCs w:val="24"/>
        </w:rPr>
        <w:t>（二）被外汇管理部门列为重点监测企业的；</w:t>
      </w:r>
    </w:p>
    <w:p w:rsidR="00C50E36" w:rsidRPr="00C50E36" w:rsidRDefault="00C50E36" w:rsidP="00C50E36">
      <w:pPr>
        <w:widowControl/>
        <w:spacing w:line="400" w:lineRule="atLeast"/>
        <w:ind w:firstLine="480"/>
        <w:rPr>
          <w:rFonts w:ascii="宋体" w:eastAsia="宋体" w:hAnsi="宋体" w:cs="宋体"/>
          <w:color w:val="323E32"/>
          <w:kern w:val="0"/>
          <w:sz w:val="24"/>
          <w:szCs w:val="24"/>
        </w:rPr>
      </w:pPr>
      <w:r w:rsidRPr="00C50E36">
        <w:rPr>
          <w:rFonts w:ascii="宋体" w:eastAsia="宋体" w:hAnsi="宋体" w:cs="宋体" w:hint="eastAsia"/>
          <w:color w:val="323E32"/>
          <w:kern w:val="0"/>
          <w:sz w:val="24"/>
          <w:szCs w:val="24"/>
        </w:rPr>
        <w:t>（三）被人民银行列为跨境贸易人民币重点监管企业的；</w:t>
      </w:r>
    </w:p>
    <w:p w:rsidR="00C50E36" w:rsidRPr="00C50E36" w:rsidRDefault="00C50E36" w:rsidP="00C50E36">
      <w:pPr>
        <w:widowControl/>
        <w:spacing w:line="400" w:lineRule="atLeast"/>
        <w:ind w:firstLine="480"/>
        <w:rPr>
          <w:rFonts w:ascii="宋体" w:eastAsia="宋体" w:hAnsi="宋体" w:cs="宋体"/>
          <w:color w:val="323E32"/>
          <w:kern w:val="0"/>
          <w:sz w:val="24"/>
          <w:szCs w:val="24"/>
        </w:rPr>
      </w:pPr>
      <w:r w:rsidRPr="00C50E36">
        <w:rPr>
          <w:rFonts w:ascii="宋体" w:eastAsia="宋体" w:hAnsi="宋体" w:cs="宋体" w:hint="eastAsia"/>
          <w:color w:val="323E32"/>
          <w:kern w:val="0"/>
          <w:sz w:val="24"/>
          <w:szCs w:val="24"/>
        </w:rPr>
        <w:t>（四）被海关列为C、D类企业的；</w:t>
      </w:r>
    </w:p>
    <w:p w:rsidR="00C50E36" w:rsidRPr="00C50E36" w:rsidRDefault="00C50E36" w:rsidP="00C50E36">
      <w:pPr>
        <w:widowControl/>
        <w:spacing w:line="400" w:lineRule="atLeast"/>
        <w:ind w:firstLine="240"/>
        <w:rPr>
          <w:rFonts w:ascii="宋体" w:eastAsia="宋体" w:hAnsi="宋体" w:cs="宋体"/>
          <w:color w:val="323E32"/>
          <w:kern w:val="0"/>
          <w:sz w:val="24"/>
          <w:szCs w:val="24"/>
        </w:rPr>
      </w:pPr>
      <w:r w:rsidRPr="00C50E36">
        <w:rPr>
          <w:rFonts w:ascii="宋体" w:eastAsia="宋体" w:hAnsi="宋体" w:cs="宋体" w:hint="eastAsia"/>
          <w:color w:val="323E32"/>
          <w:kern w:val="0"/>
          <w:sz w:val="24"/>
          <w:szCs w:val="24"/>
        </w:rPr>
        <w:t xml:space="preserve"> （五）被税务机关评定为D级纳税信用等级的；</w:t>
      </w:r>
    </w:p>
    <w:p w:rsidR="00C50E36" w:rsidRPr="00C50E36" w:rsidRDefault="00C50E36" w:rsidP="00C50E36">
      <w:pPr>
        <w:widowControl/>
        <w:spacing w:line="400" w:lineRule="atLeast"/>
        <w:ind w:firstLine="480"/>
        <w:rPr>
          <w:rFonts w:ascii="宋体" w:eastAsia="宋体" w:hAnsi="宋体" w:cs="宋体"/>
          <w:color w:val="323E32"/>
          <w:kern w:val="0"/>
          <w:sz w:val="24"/>
          <w:szCs w:val="24"/>
        </w:rPr>
      </w:pPr>
      <w:r w:rsidRPr="00C50E36">
        <w:rPr>
          <w:rFonts w:ascii="宋体" w:eastAsia="宋体" w:hAnsi="宋体" w:cs="宋体" w:hint="eastAsia"/>
          <w:color w:val="323E32"/>
          <w:kern w:val="0"/>
          <w:sz w:val="24"/>
          <w:szCs w:val="24"/>
        </w:rPr>
        <w:t>（六）因虚开增值税专用发票或其他增值税扣税凭证、增值税偷税、骗取国家出口退税款等原因，被税务机关给予行政处罚的；</w:t>
      </w:r>
    </w:p>
    <w:p w:rsidR="00C50E36" w:rsidRPr="00C50E36" w:rsidRDefault="00C50E36" w:rsidP="00C50E36">
      <w:pPr>
        <w:widowControl/>
        <w:spacing w:line="400" w:lineRule="atLeast"/>
        <w:ind w:firstLine="480"/>
        <w:rPr>
          <w:rFonts w:ascii="宋体" w:eastAsia="宋体" w:hAnsi="宋体" w:cs="宋体"/>
          <w:color w:val="323E32"/>
          <w:kern w:val="0"/>
          <w:sz w:val="24"/>
          <w:szCs w:val="24"/>
        </w:rPr>
      </w:pPr>
      <w:r w:rsidRPr="00C50E36">
        <w:rPr>
          <w:rFonts w:ascii="宋体" w:eastAsia="宋体" w:hAnsi="宋体" w:cs="宋体" w:hint="eastAsia"/>
          <w:color w:val="323E32"/>
          <w:kern w:val="0"/>
          <w:sz w:val="24"/>
          <w:szCs w:val="24"/>
        </w:rPr>
        <w:t>（七）因违反进、出口管理，收、付汇管理等方面的规定，被海关、外汇管理、人民银行、商务等部门给予行政处罚的；</w:t>
      </w:r>
    </w:p>
    <w:p w:rsidR="00C50E36" w:rsidRPr="00C50E36" w:rsidRDefault="00C50E36" w:rsidP="00C50E36">
      <w:pPr>
        <w:widowControl/>
        <w:spacing w:line="400" w:lineRule="atLeast"/>
        <w:ind w:firstLine="480"/>
        <w:rPr>
          <w:rFonts w:ascii="宋体" w:eastAsia="宋体" w:hAnsi="宋体" w:cs="宋体"/>
          <w:color w:val="323E32"/>
          <w:kern w:val="0"/>
          <w:sz w:val="24"/>
          <w:szCs w:val="24"/>
        </w:rPr>
      </w:pPr>
      <w:r w:rsidRPr="00C50E36">
        <w:rPr>
          <w:rFonts w:ascii="宋体" w:eastAsia="宋体" w:hAnsi="宋体" w:cs="宋体" w:hint="eastAsia"/>
          <w:color w:val="323E32"/>
          <w:kern w:val="0"/>
          <w:sz w:val="24"/>
          <w:szCs w:val="24"/>
        </w:rPr>
        <w:t>（八）向主管税务机关申报的不能收汇的原因为虚假的；</w:t>
      </w:r>
    </w:p>
    <w:p w:rsidR="00C50E36" w:rsidRPr="00C50E36" w:rsidRDefault="00C50E36" w:rsidP="00C50E36">
      <w:pPr>
        <w:widowControl/>
        <w:spacing w:line="400" w:lineRule="atLeast"/>
        <w:ind w:firstLine="480"/>
        <w:rPr>
          <w:rFonts w:ascii="宋体" w:eastAsia="宋体" w:hAnsi="宋体" w:cs="宋体"/>
          <w:color w:val="323E32"/>
          <w:kern w:val="0"/>
          <w:sz w:val="24"/>
          <w:szCs w:val="24"/>
        </w:rPr>
      </w:pPr>
      <w:r w:rsidRPr="00C50E36">
        <w:rPr>
          <w:rFonts w:ascii="宋体" w:eastAsia="宋体" w:hAnsi="宋体" w:cs="宋体" w:hint="eastAsia"/>
          <w:color w:val="323E32"/>
          <w:kern w:val="0"/>
          <w:sz w:val="24"/>
          <w:szCs w:val="24"/>
        </w:rPr>
        <w:lastRenderedPageBreak/>
        <w:t xml:space="preserve">（九）向主管税务机关提供的出口货物收汇凭证是冒用的。 </w:t>
      </w:r>
    </w:p>
    <w:p w:rsidR="00C50E36" w:rsidRPr="00C50E36" w:rsidRDefault="00C50E36" w:rsidP="00C50E36">
      <w:pPr>
        <w:widowControl/>
        <w:spacing w:line="400" w:lineRule="atLeast"/>
        <w:ind w:firstLine="480"/>
        <w:rPr>
          <w:rFonts w:ascii="宋体" w:eastAsia="宋体" w:hAnsi="宋体" w:cs="宋体"/>
          <w:color w:val="323E32"/>
          <w:kern w:val="0"/>
          <w:sz w:val="24"/>
          <w:szCs w:val="24"/>
        </w:rPr>
      </w:pPr>
      <w:r w:rsidRPr="00C50E36">
        <w:rPr>
          <w:rFonts w:ascii="宋体" w:eastAsia="宋体" w:hAnsi="宋体" w:cs="宋体" w:hint="eastAsia"/>
          <w:color w:val="323E32"/>
          <w:kern w:val="0"/>
          <w:sz w:val="24"/>
          <w:szCs w:val="24"/>
        </w:rPr>
        <w:t>前款第（一）至第（五）项情形的执行时间(以申报退（免）</w:t>
      </w:r>
      <w:proofErr w:type="gramStart"/>
      <w:r w:rsidRPr="00C50E36">
        <w:rPr>
          <w:rFonts w:ascii="宋体" w:eastAsia="宋体" w:hAnsi="宋体" w:cs="宋体" w:hint="eastAsia"/>
          <w:color w:val="323E32"/>
          <w:kern w:val="0"/>
          <w:sz w:val="24"/>
          <w:szCs w:val="24"/>
        </w:rPr>
        <w:t>税时间</w:t>
      </w:r>
      <w:proofErr w:type="gramEnd"/>
      <w:r w:rsidRPr="00C50E36">
        <w:rPr>
          <w:rFonts w:ascii="宋体" w:eastAsia="宋体" w:hAnsi="宋体" w:cs="宋体" w:hint="eastAsia"/>
          <w:color w:val="323E32"/>
          <w:kern w:val="0"/>
          <w:sz w:val="24"/>
          <w:szCs w:val="24"/>
        </w:rPr>
        <w:t>为准，本款下同)为主管税务机关通知之日起至情形存续期结束；前款第（六）至第（九）项情形的执行时间为主管税务机关通知之日起24个月内；出口企业并存上述若干情形的，执行时间的截止时间为情形中的最晚截止时间。</w:t>
      </w:r>
    </w:p>
    <w:p w:rsidR="00C50E36" w:rsidRPr="00C50E36" w:rsidRDefault="00C50E36" w:rsidP="00C50E36">
      <w:pPr>
        <w:widowControl/>
        <w:spacing w:line="400" w:lineRule="atLeast"/>
        <w:ind w:firstLine="480"/>
        <w:rPr>
          <w:rFonts w:ascii="宋体" w:eastAsia="宋体" w:hAnsi="宋体" w:cs="宋体"/>
          <w:color w:val="323E32"/>
          <w:kern w:val="0"/>
          <w:sz w:val="24"/>
          <w:szCs w:val="24"/>
        </w:rPr>
      </w:pPr>
      <w:r w:rsidRPr="00C50E36">
        <w:rPr>
          <w:rFonts w:ascii="宋体" w:eastAsia="宋体" w:hAnsi="宋体" w:cs="宋体" w:hint="eastAsia"/>
          <w:color w:val="323E32"/>
          <w:kern w:val="0"/>
          <w:sz w:val="24"/>
          <w:szCs w:val="24"/>
        </w:rPr>
        <w:t>三、自2014年5月1日起，出口企业上一年度收汇率低于70%（外汇管理局、人民银行提供的企业上一年度出口收汇金额，加上企业申报并经主管税务机关审核确认的不能收汇金额合计，占企业申报退（免）税的上一年度出口货物出口额的比例）的，该出口企业当年5月至次年4月申报的退（免）税，按本公告第二条的规定执行。</w:t>
      </w:r>
    </w:p>
    <w:p w:rsidR="00C50E36" w:rsidRPr="00C50E36" w:rsidRDefault="00C50E36" w:rsidP="00C50E36">
      <w:pPr>
        <w:widowControl/>
        <w:spacing w:line="400" w:lineRule="atLeast"/>
        <w:ind w:firstLine="480"/>
        <w:rPr>
          <w:rFonts w:ascii="宋体" w:eastAsia="宋体" w:hAnsi="宋体" w:cs="宋体"/>
          <w:color w:val="323E32"/>
          <w:kern w:val="0"/>
          <w:sz w:val="24"/>
          <w:szCs w:val="24"/>
        </w:rPr>
      </w:pPr>
      <w:r w:rsidRPr="00C50E36">
        <w:rPr>
          <w:rFonts w:ascii="宋体" w:eastAsia="宋体" w:hAnsi="宋体" w:cs="宋体" w:hint="eastAsia"/>
          <w:color w:val="323E32"/>
          <w:kern w:val="0"/>
          <w:sz w:val="24"/>
          <w:szCs w:val="24"/>
        </w:rPr>
        <w:t>四、本公告第二条、第三条所列出口企业以外的其他出口企业申报的出口货物退（免）税，可不提供出口收汇凭证，本条第二款规定的情形除外；对不能收汇或不能在出口货物退（免）税申报期的截止之日内收汇的属于本公告第五条所列的货物，按本公告第五条的规定办理。</w:t>
      </w:r>
    </w:p>
    <w:p w:rsidR="00C50E36" w:rsidRPr="00C50E36" w:rsidRDefault="00C50E36" w:rsidP="00C50E36">
      <w:pPr>
        <w:widowControl/>
        <w:spacing w:line="400" w:lineRule="atLeast"/>
        <w:ind w:firstLine="480"/>
        <w:rPr>
          <w:rFonts w:ascii="宋体" w:eastAsia="宋体" w:hAnsi="宋体" w:cs="宋体"/>
          <w:color w:val="323E32"/>
          <w:kern w:val="0"/>
          <w:sz w:val="24"/>
          <w:szCs w:val="24"/>
        </w:rPr>
      </w:pPr>
      <w:r w:rsidRPr="00C50E36">
        <w:rPr>
          <w:rFonts w:ascii="宋体" w:eastAsia="宋体" w:hAnsi="宋体" w:cs="宋体" w:hint="eastAsia"/>
          <w:color w:val="323E32"/>
          <w:kern w:val="0"/>
          <w:sz w:val="24"/>
          <w:szCs w:val="24"/>
        </w:rPr>
        <w:t>主管税务机关在出口退（免）税审核中，发现前款出口企业申报退（免）税的出口货物存在需要进一步核实出口业务真实性的，出口企业在接到主管税务机关通知后，应填报《生产企业出口业务自查表》或《外贸企业出口业务自查表》、《出口货物收汇申报表》或《出口货物不能收汇申报表》（附件2）及相关证明材料。主管税务机关对企业报送的申报表和相关资料，按有关规定核查无误后，方可办理该笔出口货物退（免）税。</w:t>
      </w:r>
    </w:p>
    <w:p w:rsidR="00C50E36" w:rsidRPr="00C50E36" w:rsidRDefault="00C50E36" w:rsidP="00C50E36">
      <w:pPr>
        <w:widowControl/>
        <w:spacing w:line="400" w:lineRule="atLeast"/>
        <w:ind w:firstLine="480"/>
        <w:rPr>
          <w:rFonts w:ascii="宋体" w:eastAsia="宋体" w:hAnsi="宋体" w:cs="宋体"/>
          <w:color w:val="323E32"/>
          <w:kern w:val="0"/>
          <w:sz w:val="24"/>
          <w:szCs w:val="24"/>
        </w:rPr>
      </w:pPr>
      <w:r w:rsidRPr="00C50E36">
        <w:rPr>
          <w:rFonts w:ascii="宋体" w:eastAsia="宋体" w:hAnsi="宋体" w:cs="宋体" w:hint="eastAsia"/>
          <w:color w:val="323E32"/>
          <w:kern w:val="0"/>
          <w:sz w:val="24"/>
          <w:szCs w:val="24"/>
        </w:rPr>
        <w:t>五、出口货物由于本公告附件3所列原因，不能收汇或不能在出口货物退（免）税申报期的截止之日内收汇的，如按会计制度规定须冲减出口销售收入的，在冲减销售收入后，属于本公告第二条所列出口企业应在申报退（免）税时，属于本公告第四条所列出口企业应在退（免）税申报期截止之日内，向主管税务机关报送《出口货物不能收汇申报表》，提供附件3所</w:t>
      </w:r>
      <w:proofErr w:type="gramStart"/>
      <w:r w:rsidRPr="00C50E36">
        <w:rPr>
          <w:rFonts w:ascii="宋体" w:eastAsia="宋体" w:hAnsi="宋体" w:cs="宋体" w:hint="eastAsia"/>
          <w:color w:val="323E32"/>
          <w:kern w:val="0"/>
          <w:sz w:val="24"/>
          <w:szCs w:val="24"/>
        </w:rPr>
        <w:t>列原因</w:t>
      </w:r>
      <w:proofErr w:type="gramEnd"/>
      <w:r w:rsidRPr="00C50E36">
        <w:rPr>
          <w:rFonts w:ascii="宋体" w:eastAsia="宋体" w:hAnsi="宋体" w:cs="宋体" w:hint="eastAsia"/>
          <w:color w:val="323E32"/>
          <w:kern w:val="0"/>
          <w:sz w:val="24"/>
          <w:szCs w:val="24"/>
        </w:rPr>
        <w:t>对应的有关证明材料，经主管税务机关审核确认后，可视同收汇处理。</w:t>
      </w:r>
    </w:p>
    <w:p w:rsidR="00C50E36" w:rsidRPr="00C50E36" w:rsidRDefault="00C50E36" w:rsidP="00C50E36">
      <w:pPr>
        <w:widowControl/>
        <w:spacing w:line="400" w:lineRule="atLeast"/>
        <w:ind w:firstLine="480"/>
        <w:rPr>
          <w:rFonts w:ascii="宋体" w:eastAsia="宋体" w:hAnsi="宋体" w:cs="宋体"/>
          <w:color w:val="323E32"/>
          <w:kern w:val="0"/>
          <w:sz w:val="24"/>
          <w:szCs w:val="24"/>
        </w:rPr>
      </w:pPr>
      <w:r w:rsidRPr="00C50E36">
        <w:rPr>
          <w:rFonts w:ascii="宋体" w:eastAsia="宋体" w:hAnsi="宋体" w:cs="宋体" w:hint="eastAsia"/>
          <w:color w:val="323E32"/>
          <w:kern w:val="0"/>
          <w:sz w:val="24"/>
          <w:szCs w:val="24"/>
        </w:rPr>
        <w:t>六、合同约定全部收汇的最终日期在出口退（免）税申报期限截止之日后的，出口企业应在合同约定最终收汇日期次月的增值税纳税申报期内，向主管税务机关提供收汇凭证，不能提供的，对应的出口货物适用增值税免税政策。</w:t>
      </w:r>
    </w:p>
    <w:p w:rsidR="00C50E36" w:rsidRPr="00C50E36" w:rsidRDefault="00C50E36" w:rsidP="00C50E36">
      <w:pPr>
        <w:widowControl/>
        <w:spacing w:line="400" w:lineRule="atLeast"/>
        <w:ind w:firstLine="480"/>
        <w:rPr>
          <w:rFonts w:ascii="宋体" w:eastAsia="宋体" w:hAnsi="宋体" w:cs="宋体"/>
          <w:color w:val="323E32"/>
          <w:kern w:val="0"/>
          <w:sz w:val="24"/>
          <w:szCs w:val="24"/>
        </w:rPr>
      </w:pPr>
      <w:r w:rsidRPr="00C50E36">
        <w:rPr>
          <w:rFonts w:ascii="宋体" w:eastAsia="宋体" w:hAnsi="宋体" w:cs="宋体" w:hint="eastAsia"/>
          <w:color w:val="323E32"/>
          <w:kern w:val="0"/>
          <w:sz w:val="24"/>
          <w:szCs w:val="24"/>
        </w:rPr>
        <w:t>七、本公告规定的适用增值税免税政策的出口货物，出口企业应在退（免）税申报期截止之日的次月或在确定免税的次月的增值税纳税申报期，按规定向主管税务机关申报免税，前期已申报退（免）税的，出口企业应用负数申报冲减原退（免）税申报数据，并按现行会计制度的有关规定进行相应调整，出口企业当期免抵退税额（外贸企业为退税额，本条下同）不足冲减的，应补缴差额部分的</w:t>
      </w:r>
      <w:r w:rsidRPr="00C50E36">
        <w:rPr>
          <w:rFonts w:ascii="宋体" w:eastAsia="宋体" w:hAnsi="宋体" w:cs="宋体" w:hint="eastAsia"/>
          <w:color w:val="323E32"/>
          <w:kern w:val="0"/>
          <w:sz w:val="24"/>
          <w:szCs w:val="24"/>
        </w:rPr>
        <w:lastRenderedPageBreak/>
        <w:t>税款。出口企业如果未按上述规定申报冲减的，一经主管税务机关发现，除按规定补缴已办理的免抵退税额，对出口货物增值税实行免税或征税外，还应接受主管税务机关按《中华人民共和国税收征收管理法》做出的处罚。</w:t>
      </w:r>
    </w:p>
    <w:p w:rsidR="00C50E36" w:rsidRPr="00C50E36" w:rsidRDefault="00C50E36" w:rsidP="00C50E36">
      <w:pPr>
        <w:widowControl/>
        <w:spacing w:line="400" w:lineRule="atLeast"/>
        <w:ind w:firstLine="480"/>
        <w:rPr>
          <w:rFonts w:ascii="宋体" w:eastAsia="宋体" w:hAnsi="宋体" w:cs="宋体"/>
          <w:color w:val="323E32"/>
          <w:kern w:val="0"/>
          <w:sz w:val="24"/>
          <w:szCs w:val="24"/>
        </w:rPr>
      </w:pPr>
      <w:r w:rsidRPr="00C50E36">
        <w:rPr>
          <w:rFonts w:ascii="宋体" w:eastAsia="宋体" w:hAnsi="宋体" w:cs="宋体" w:hint="eastAsia"/>
          <w:color w:val="323E32"/>
          <w:kern w:val="0"/>
          <w:sz w:val="24"/>
          <w:szCs w:val="24"/>
        </w:rPr>
        <w:t>八、主管税务机关发现出口企业申报出口货物退（免）税提供的收汇资料存在以下情形的，除按《中华人民共和国税收征收管理法》相应的规定处罚外，相应的出口货物适用增值税征税政策，属于偷骗税的，由稽查部门查处：</w:t>
      </w:r>
    </w:p>
    <w:p w:rsidR="00C50E36" w:rsidRPr="00C50E36" w:rsidRDefault="00C50E36" w:rsidP="00C50E36">
      <w:pPr>
        <w:widowControl/>
        <w:spacing w:line="400" w:lineRule="atLeast"/>
        <w:ind w:firstLine="480"/>
        <w:rPr>
          <w:rFonts w:ascii="宋体" w:eastAsia="宋体" w:hAnsi="宋体" w:cs="宋体"/>
          <w:color w:val="323E32"/>
          <w:kern w:val="0"/>
          <w:sz w:val="24"/>
          <w:szCs w:val="24"/>
        </w:rPr>
      </w:pPr>
      <w:r w:rsidRPr="00C50E36">
        <w:rPr>
          <w:rFonts w:ascii="宋体" w:eastAsia="宋体" w:hAnsi="宋体" w:cs="宋体" w:hint="eastAsia"/>
          <w:color w:val="323E32"/>
          <w:kern w:val="0"/>
          <w:sz w:val="24"/>
          <w:szCs w:val="24"/>
        </w:rPr>
        <w:t>（一）不能收汇的原因或证明材料为虚假的；</w:t>
      </w:r>
    </w:p>
    <w:p w:rsidR="00C50E36" w:rsidRPr="00C50E36" w:rsidRDefault="00C50E36" w:rsidP="00C50E36">
      <w:pPr>
        <w:widowControl/>
        <w:spacing w:line="400" w:lineRule="atLeast"/>
        <w:ind w:firstLine="480"/>
        <w:rPr>
          <w:rFonts w:ascii="宋体" w:eastAsia="宋体" w:hAnsi="宋体" w:cs="宋体"/>
          <w:color w:val="323E32"/>
          <w:kern w:val="0"/>
          <w:sz w:val="24"/>
          <w:szCs w:val="24"/>
        </w:rPr>
      </w:pPr>
      <w:r w:rsidRPr="00C50E36">
        <w:rPr>
          <w:rFonts w:ascii="宋体" w:eastAsia="宋体" w:hAnsi="宋体" w:cs="宋体" w:hint="eastAsia"/>
          <w:color w:val="323E32"/>
          <w:kern w:val="0"/>
          <w:sz w:val="24"/>
          <w:szCs w:val="24"/>
        </w:rPr>
        <w:t>（二）收汇凭证是冒用的。</w:t>
      </w:r>
    </w:p>
    <w:p w:rsidR="00C50E36" w:rsidRPr="00C50E36" w:rsidRDefault="00C50E36" w:rsidP="00C50E36">
      <w:pPr>
        <w:widowControl/>
        <w:spacing w:line="400" w:lineRule="atLeast"/>
        <w:ind w:firstLine="480"/>
        <w:rPr>
          <w:rFonts w:ascii="宋体" w:eastAsia="宋体" w:hAnsi="宋体" w:cs="宋体"/>
          <w:color w:val="323E32"/>
          <w:kern w:val="0"/>
          <w:sz w:val="24"/>
          <w:szCs w:val="24"/>
        </w:rPr>
      </w:pPr>
      <w:r w:rsidRPr="00C50E36">
        <w:rPr>
          <w:rFonts w:ascii="宋体" w:eastAsia="宋体" w:hAnsi="宋体" w:cs="宋体" w:hint="eastAsia"/>
          <w:color w:val="323E32"/>
          <w:kern w:val="0"/>
          <w:sz w:val="24"/>
          <w:szCs w:val="24"/>
        </w:rPr>
        <w:t>九、主管税务机关发现出口企业出口货物的收汇情况存在非进口商付汇等疑点的，对该笔收汇对应的出口货物暂不办理出口退（免）税；已办理退（免）税的，主管税务机关可按照所涉及的退税额对该企业其他已审核通过的等额的应退税款暂缓办理出口退（免）税，无其他应退税款或应退税款小于所涉及退税额的，可由出口企业提供差额部分的担保。待税务机关核实排除相应疑点后，方可办理退（免）税或解除担保。</w:t>
      </w:r>
    </w:p>
    <w:p w:rsidR="00C50E36" w:rsidRPr="00C50E36" w:rsidRDefault="00C50E36" w:rsidP="00C50E36">
      <w:pPr>
        <w:widowControl/>
        <w:spacing w:line="400" w:lineRule="atLeast"/>
        <w:ind w:firstLine="480"/>
        <w:rPr>
          <w:rFonts w:ascii="宋体" w:eastAsia="宋体" w:hAnsi="宋体" w:cs="宋体"/>
          <w:color w:val="323E32"/>
          <w:kern w:val="0"/>
          <w:sz w:val="24"/>
          <w:szCs w:val="24"/>
        </w:rPr>
      </w:pPr>
      <w:r w:rsidRPr="00C50E36">
        <w:rPr>
          <w:rFonts w:ascii="宋体" w:eastAsia="宋体" w:hAnsi="宋体" w:cs="宋体" w:hint="eastAsia"/>
          <w:color w:val="323E32"/>
          <w:kern w:val="0"/>
          <w:sz w:val="24"/>
          <w:szCs w:val="24"/>
        </w:rPr>
        <w:t>十、省级国家税务局应设立评估指标、预警值，按照人民银行、外汇管理局提供的出口收汇数据，对出口企业的货物流、资金流进行定期评估、预警，凡发现出口企业申报退（免）税的出口货物结汇数据异常的，应进行核查，发现违规的，应按相应规定处理；属于偷骗税的，由稽查部门查处。</w:t>
      </w:r>
    </w:p>
    <w:p w:rsidR="00C50E36" w:rsidRPr="00C50E36" w:rsidRDefault="00C50E36" w:rsidP="00C50E36">
      <w:pPr>
        <w:widowControl/>
        <w:spacing w:line="400" w:lineRule="atLeast"/>
        <w:ind w:firstLine="480"/>
        <w:rPr>
          <w:rFonts w:ascii="宋体" w:eastAsia="宋体" w:hAnsi="宋体" w:cs="宋体"/>
          <w:color w:val="323E32"/>
          <w:kern w:val="0"/>
          <w:sz w:val="24"/>
          <w:szCs w:val="24"/>
        </w:rPr>
      </w:pPr>
      <w:r w:rsidRPr="00C50E36">
        <w:rPr>
          <w:rFonts w:ascii="宋体" w:eastAsia="宋体" w:hAnsi="宋体" w:cs="宋体" w:hint="eastAsia"/>
          <w:color w:val="323E32"/>
          <w:kern w:val="0"/>
          <w:sz w:val="24"/>
          <w:szCs w:val="24"/>
        </w:rPr>
        <w:t>十一、本公告的出口货物，不包括《财政部国家税务总局关于出口货物劳务增值税和消费税政策的通知》（财税〔2012〕39号）第一条第（二）项（第2目除外）、第（三）项所列的视同出口货物以及易货贸易出口货物、委托出口货物，暂不包括边境小额贸易出口货物；本公告的出口企业，不包括委托出口的企业。</w:t>
      </w:r>
    </w:p>
    <w:p w:rsidR="00C50E36" w:rsidRPr="00C50E36" w:rsidRDefault="00C50E36" w:rsidP="00C50E36">
      <w:pPr>
        <w:widowControl/>
        <w:spacing w:line="400" w:lineRule="atLeast"/>
        <w:ind w:firstLine="480"/>
        <w:rPr>
          <w:rFonts w:ascii="宋体" w:eastAsia="宋体" w:hAnsi="宋体" w:cs="宋体"/>
          <w:color w:val="323E32"/>
          <w:kern w:val="0"/>
          <w:sz w:val="24"/>
          <w:szCs w:val="24"/>
        </w:rPr>
      </w:pPr>
      <w:r w:rsidRPr="00C50E36">
        <w:rPr>
          <w:rFonts w:ascii="宋体" w:eastAsia="宋体" w:hAnsi="宋体" w:cs="宋体" w:hint="eastAsia"/>
          <w:color w:val="323E32"/>
          <w:kern w:val="0"/>
          <w:sz w:val="24"/>
          <w:szCs w:val="24"/>
        </w:rPr>
        <w:t>十二、本公告自2013年8月1日起执行。</w:t>
      </w:r>
    </w:p>
    <w:p w:rsidR="00C50E36" w:rsidRPr="00C50E36" w:rsidRDefault="00C50E36" w:rsidP="00C50E36">
      <w:pPr>
        <w:widowControl/>
        <w:spacing w:line="400" w:lineRule="atLeast"/>
        <w:ind w:firstLine="480"/>
        <w:rPr>
          <w:rFonts w:ascii="宋体" w:eastAsia="宋体" w:hAnsi="宋体" w:cs="宋体"/>
          <w:color w:val="323E32"/>
          <w:kern w:val="0"/>
          <w:sz w:val="24"/>
          <w:szCs w:val="24"/>
        </w:rPr>
      </w:pPr>
      <w:r w:rsidRPr="00C50E36">
        <w:rPr>
          <w:rFonts w:ascii="宋体" w:eastAsia="宋体" w:hAnsi="宋体" w:cs="宋体" w:hint="eastAsia"/>
          <w:color w:val="323E32"/>
          <w:kern w:val="0"/>
          <w:sz w:val="24"/>
          <w:szCs w:val="24"/>
        </w:rPr>
        <w:t>特此公告。</w:t>
      </w:r>
    </w:p>
    <w:p w:rsidR="00C50E36" w:rsidRPr="00C50E36" w:rsidRDefault="00C50E36" w:rsidP="00C50E36">
      <w:pPr>
        <w:widowControl/>
        <w:spacing w:line="400" w:lineRule="atLeast"/>
        <w:rPr>
          <w:rFonts w:ascii="宋体" w:eastAsia="宋体" w:hAnsi="宋体" w:cs="宋体"/>
          <w:color w:val="323E32"/>
          <w:kern w:val="0"/>
          <w:sz w:val="24"/>
          <w:szCs w:val="24"/>
        </w:rPr>
      </w:pPr>
      <w:r w:rsidRPr="00C50E36">
        <w:rPr>
          <w:rFonts w:ascii="宋体" w:eastAsia="宋体" w:hAnsi="宋体" w:cs="宋体"/>
          <w:color w:val="323E32"/>
          <w:kern w:val="0"/>
          <w:sz w:val="24"/>
          <w:szCs w:val="24"/>
        </w:rPr>
        <w:t> </w:t>
      </w:r>
    </w:p>
    <w:p w:rsidR="00C50E36" w:rsidRPr="00C50E36" w:rsidRDefault="00C50E36" w:rsidP="00C50E36">
      <w:pPr>
        <w:widowControl/>
        <w:spacing w:line="400" w:lineRule="atLeast"/>
        <w:ind w:firstLine="480"/>
        <w:rPr>
          <w:rFonts w:ascii="宋体" w:eastAsia="宋体" w:hAnsi="宋体" w:cs="宋体"/>
          <w:color w:val="323E32"/>
          <w:kern w:val="0"/>
          <w:sz w:val="24"/>
          <w:szCs w:val="24"/>
        </w:rPr>
      </w:pPr>
      <w:r w:rsidRPr="00C50E36">
        <w:rPr>
          <w:rFonts w:ascii="宋体" w:eastAsia="宋体" w:hAnsi="宋体" w:cs="宋体"/>
          <w:color w:val="323E32"/>
          <w:kern w:val="0"/>
          <w:sz w:val="24"/>
          <w:szCs w:val="24"/>
        </w:rPr>
        <w:t> </w:t>
      </w:r>
    </w:p>
    <w:p w:rsidR="00C50E36" w:rsidRPr="00C50E36" w:rsidRDefault="00C50E36" w:rsidP="00C50E36">
      <w:pPr>
        <w:widowControl/>
        <w:spacing w:line="400" w:lineRule="atLeast"/>
        <w:ind w:firstLine="480"/>
        <w:rPr>
          <w:rFonts w:ascii="宋体" w:eastAsia="宋体" w:hAnsi="宋体" w:cs="宋体"/>
          <w:color w:val="323E32"/>
          <w:kern w:val="0"/>
          <w:sz w:val="24"/>
          <w:szCs w:val="24"/>
        </w:rPr>
      </w:pPr>
      <w:r w:rsidRPr="00C50E36">
        <w:rPr>
          <w:rFonts w:ascii="宋体" w:eastAsia="宋体" w:hAnsi="宋体" w:cs="宋体" w:hint="eastAsia"/>
          <w:color w:val="323E32"/>
          <w:kern w:val="0"/>
          <w:sz w:val="24"/>
          <w:szCs w:val="24"/>
        </w:rPr>
        <w:t>附件：</w:t>
      </w:r>
      <w:r>
        <w:rPr>
          <w:rFonts w:ascii="宋体" w:eastAsia="宋体" w:hAnsi="宋体" w:cs="宋体"/>
          <w:noProof/>
          <w:color w:val="323E32"/>
          <w:kern w:val="0"/>
          <w:sz w:val="24"/>
          <w:szCs w:val="24"/>
        </w:rPr>
        <w:drawing>
          <wp:inline distT="0" distB="0" distL="0" distR="0" wp14:anchorId="5DAF1BD9" wp14:editId="21CC35EA">
            <wp:extent cx="152400" cy="152400"/>
            <wp:effectExtent l="0" t="0" r="0" b="0"/>
            <wp:docPr id="3" name="图片 3" descr="国家税务总局公告2013年第30号出口企业申报出口退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国家税务总局公告2013年第30号出口企业申报出口退税"/>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6" w:tgtFrame="_blank" w:history="1">
        <w:r w:rsidRPr="00C50E36">
          <w:rPr>
            <w:rFonts w:ascii="宋体" w:eastAsia="宋体" w:hAnsi="宋体" w:cs="宋体" w:hint="eastAsia"/>
            <w:color w:val="0051A8"/>
            <w:kern w:val="0"/>
            <w:sz w:val="24"/>
            <w:szCs w:val="24"/>
          </w:rPr>
          <w:t>1.出口货物收汇申报表.XLS</w:t>
        </w:r>
      </w:hyperlink>
    </w:p>
    <w:p w:rsidR="00C50E36" w:rsidRPr="00C50E36" w:rsidRDefault="00C50E36" w:rsidP="00C50E36">
      <w:pPr>
        <w:widowControl/>
        <w:spacing w:line="400" w:lineRule="atLeast"/>
        <w:ind w:firstLine="1200"/>
        <w:rPr>
          <w:rFonts w:ascii="宋体" w:eastAsia="宋体" w:hAnsi="宋体" w:cs="宋体"/>
          <w:color w:val="323E32"/>
          <w:kern w:val="0"/>
          <w:sz w:val="24"/>
          <w:szCs w:val="24"/>
        </w:rPr>
      </w:pPr>
      <w:r>
        <w:rPr>
          <w:rFonts w:ascii="宋体" w:eastAsia="宋体" w:hAnsi="宋体" w:cs="宋体"/>
          <w:noProof/>
          <w:color w:val="323E32"/>
          <w:kern w:val="0"/>
          <w:sz w:val="24"/>
          <w:szCs w:val="24"/>
        </w:rPr>
        <w:drawing>
          <wp:inline distT="0" distB="0" distL="0" distR="0" wp14:anchorId="323D22EE" wp14:editId="6E71E4E4">
            <wp:extent cx="152400" cy="152400"/>
            <wp:effectExtent l="0" t="0" r="0" b="0"/>
            <wp:docPr id="2" name="图片 2" descr="国家税务总局公告2013年第30号出口企业申报出口退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国家税务总局公告2013年第30号出口企业申报出口退税"/>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7" w:tgtFrame="_blank" w:history="1">
        <w:r w:rsidRPr="00C50E36">
          <w:rPr>
            <w:rFonts w:ascii="宋体" w:eastAsia="宋体" w:hAnsi="宋体" w:cs="宋体" w:hint="eastAsia"/>
            <w:color w:val="0051A8"/>
            <w:kern w:val="0"/>
            <w:sz w:val="24"/>
            <w:szCs w:val="24"/>
          </w:rPr>
          <w:t>2.出口货物不能收汇申报表.XLS</w:t>
        </w:r>
      </w:hyperlink>
    </w:p>
    <w:p w:rsidR="00C50E36" w:rsidRPr="00C50E36" w:rsidRDefault="00C50E36" w:rsidP="00C50E36">
      <w:pPr>
        <w:widowControl/>
        <w:spacing w:line="400" w:lineRule="atLeast"/>
        <w:ind w:firstLine="1200"/>
        <w:rPr>
          <w:rFonts w:ascii="宋体" w:eastAsia="宋体" w:hAnsi="宋体" w:cs="宋体"/>
          <w:color w:val="323E32"/>
          <w:kern w:val="0"/>
          <w:sz w:val="24"/>
          <w:szCs w:val="24"/>
        </w:rPr>
      </w:pPr>
      <w:r>
        <w:rPr>
          <w:rFonts w:ascii="宋体" w:eastAsia="宋体" w:hAnsi="宋体" w:cs="宋体"/>
          <w:noProof/>
          <w:color w:val="323E32"/>
          <w:kern w:val="0"/>
          <w:sz w:val="24"/>
          <w:szCs w:val="24"/>
        </w:rPr>
        <w:drawing>
          <wp:inline distT="0" distB="0" distL="0" distR="0" wp14:anchorId="2266F644" wp14:editId="630256B5">
            <wp:extent cx="152400" cy="152400"/>
            <wp:effectExtent l="0" t="0" r="0" b="0"/>
            <wp:docPr id="1" name="图片 1" descr="国家税务总局公告2013年第30号出口企业申报出口退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国家税务总局公告2013年第30号出口企业申报出口退税"/>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9" w:tgtFrame="_blank" w:history="1">
        <w:r w:rsidRPr="00C50E36">
          <w:rPr>
            <w:rFonts w:ascii="宋体" w:eastAsia="宋体" w:hAnsi="宋体" w:cs="宋体" w:hint="eastAsia"/>
            <w:color w:val="0051A8"/>
            <w:kern w:val="0"/>
            <w:sz w:val="24"/>
            <w:szCs w:val="24"/>
          </w:rPr>
          <w:t>3.出口货物不能收汇的原因及证明材料.DOC</w:t>
        </w:r>
      </w:hyperlink>
    </w:p>
    <w:p w:rsidR="00C50E36" w:rsidRPr="00C50E36" w:rsidRDefault="00C50E36" w:rsidP="00C50E36">
      <w:pPr>
        <w:widowControl/>
        <w:spacing w:line="400" w:lineRule="atLeast"/>
        <w:ind w:firstLine="1200"/>
        <w:rPr>
          <w:rFonts w:ascii="宋体" w:eastAsia="宋体" w:hAnsi="宋体" w:cs="宋体"/>
          <w:color w:val="323E32"/>
          <w:kern w:val="0"/>
          <w:sz w:val="24"/>
          <w:szCs w:val="24"/>
        </w:rPr>
      </w:pPr>
      <w:r w:rsidRPr="00C50E36">
        <w:rPr>
          <w:rFonts w:ascii="宋体" w:eastAsia="宋体" w:hAnsi="宋体" w:cs="宋体"/>
          <w:color w:val="323E32"/>
          <w:kern w:val="0"/>
          <w:sz w:val="24"/>
          <w:szCs w:val="24"/>
        </w:rPr>
        <w:t> </w:t>
      </w:r>
    </w:p>
    <w:p w:rsidR="00C50E36" w:rsidRPr="00C50E36" w:rsidRDefault="00C50E36" w:rsidP="00C50E36">
      <w:pPr>
        <w:widowControl/>
        <w:spacing w:line="400" w:lineRule="atLeast"/>
        <w:ind w:firstLine="1200"/>
        <w:rPr>
          <w:rFonts w:ascii="宋体" w:eastAsia="宋体" w:hAnsi="宋体" w:cs="宋体"/>
          <w:color w:val="323E32"/>
          <w:kern w:val="0"/>
          <w:sz w:val="24"/>
          <w:szCs w:val="24"/>
        </w:rPr>
      </w:pPr>
      <w:r w:rsidRPr="00C50E36">
        <w:rPr>
          <w:rFonts w:ascii="宋体" w:eastAsia="宋体" w:hAnsi="宋体" w:cs="宋体"/>
          <w:color w:val="323E32"/>
          <w:kern w:val="0"/>
          <w:sz w:val="24"/>
          <w:szCs w:val="24"/>
        </w:rPr>
        <w:t> </w:t>
      </w:r>
    </w:p>
    <w:p w:rsidR="00C50E36" w:rsidRPr="00C50E36" w:rsidRDefault="00C50E36" w:rsidP="00C50E36">
      <w:pPr>
        <w:widowControl/>
        <w:spacing w:line="400" w:lineRule="atLeast"/>
        <w:ind w:firstLine="1200"/>
        <w:rPr>
          <w:rFonts w:ascii="宋体" w:eastAsia="宋体" w:hAnsi="宋体" w:cs="宋体"/>
          <w:color w:val="323E32"/>
          <w:kern w:val="0"/>
          <w:sz w:val="24"/>
          <w:szCs w:val="24"/>
        </w:rPr>
      </w:pPr>
      <w:r w:rsidRPr="00C50E36">
        <w:rPr>
          <w:rFonts w:ascii="宋体" w:eastAsia="宋体" w:hAnsi="宋体" w:cs="宋体"/>
          <w:color w:val="323E32"/>
          <w:kern w:val="0"/>
          <w:sz w:val="24"/>
          <w:szCs w:val="24"/>
        </w:rPr>
        <w:t> </w:t>
      </w:r>
    </w:p>
    <w:p w:rsidR="00C50E36" w:rsidRPr="00C50E36" w:rsidRDefault="00C50E36" w:rsidP="00C50E36">
      <w:pPr>
        <w:widowControl/>
        <w:spacing w:line="400" w:lineRule="atLeast"/>
        <w:ind w:firstLine="1200"/>
        <w:rPr>
          <w:rFonts w:ascii="宋体" w:eastAsia="宋体" w:hAnsi="宋体" w:cs="宋体"/>
          <w:color w:val="323E32"/>
          <w:kern w:val="0"/>
          <w:sz w:val="24"/>
          <w:szCs w:val="24"/>
        </w:rPr>
      </w:pPr>
      <w:r w:rsidRPr="00C50E36">
        <w:rPr>
          <w:rFonts w:ascii="宋体" w:eastAsia="宋体" w:hAnsi="宋体" w:cs="宋体"/>
          <w:color w:val="323E32"/>
          <w:kern w:val="0"/>
          <w:sz w:val="24"/>
          <w:szCs w:val="24"/>
        </w:rPr>
        <w:t> </w:t>
      </w:r>
    </w:p>
    <w:p w:rsidR="00C50E36" w:rsidRPr="00C50E36" w:rsidRDefault="00C50E36" w:rsidP="00C50E36">
      <w:pPr>
        <w:widowControl/>
        <w:spacing w:line="400" w:lineRule="atLeast"/>
        <w:ind w:firstLine="1200"/>
        <w:rPr>
          <w:rFonts w:ascii="宋体" w:eastAsia="宋体" w:hAnsi="宋体" w:cs="宋体"/>
          <w:color w:val="323E32"/>
          <w:kern w:val="0"/>
          <w:sz w:val="24"/>
          <w:szCs w:val="24"/>
        </w:rPr>
      </w:pPr>
      <w:r w:rsidRPr="00C50E36">
        <w:rPr>
          <w:rFonts w:ascii="宋体" w:eastAsia="宋体" w:hAnsi="宋体" w:cs="宋体" w:hint="eastAsia"/>
          <w:color w:val="323E32"/>
          <w:kern w:val="0"/>
          <w:sz w:val="24"/>
          <w:szCs w:val="24"/>
        </w:rPr>
        <w:lastRenderedPageBreak/>
        <w:t xml:space="preserve">                                          国家税务总局</w:t>
      </w:r>
    </w:p>
    <w:p w:rsidR="00C50E36" w:rsidRDefault="00C50E36" w:rsidP="00C50E36">
      <w:pPr>
        <w:rPr>
          <w:rFonts w:hint="eastAsia"/>
        </w:rPr>
      </w:pPr>
      <w:r w:rsidRPr="00C50E36">
        <w:rPr>
          <w:rFonts w:ascii="宋体" w:eastAsia="宋体" w:hAnsi="宋体" w:cs="宋体" w:hint="eastAsia"/>
          <w:color w:val="323E32"/>
          <w:kern w:val="0"/>
          <w:sz w:val="24"/>
          <w:szCs w:val="24"/>
        </w:rPr>
        <w:t xml:space="preserve">                                                    2013年6月9日</w:t>
      </w:r>
    </w:p>
    <w:sectPr w:rsidR="00C50E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2F2"/>
    <w:rsid w:val="001C02F2"/>
    <w:rsid w:val="00C50E36"/>
    <w:rsid w:val="00E67C2B"/>
    <w:rsid w:val="00E95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C50E36"/>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C50E36"/>
    <w:rPr>
      <w:rFonts w:ascii="宋体" w:eastAsia="宋体" w:hAnsi="宋体" w:cs="宋体"/>
      <w:b/>
      <w:bCs/>
      <w:kern w:val="0"/>
      <w:sz w:val="27"/>
      <w:szCs w:val="27"/>
    </w:rPr>
  </w:style>
  <w:style w:type="character" w:styleId="a3">
    <w:name w:val="Hyperlink"/>
    <w:basedOn w:val="a0"/>
    <w:uiPriority w:val="99"/>
    <w:semiHidden/>
    <w:unhideWhenUsed/>
    <w:rsid w:val="00C50E36"/>
    <w:rPr>
      <w:strike w:val="0"/>
      <w:dstrike w:val="0"/>
      <w:color w:val="0051A8"/>
      <w:u w:val="none"/>
      <w:effect w:val="none"/>
    </w:rPr>
  </w:style>
  <w:style w:type="paragraph" w:styleId="a4">
    <w:name w:val="Normal (Web)"/>
    <w:basedOn w:val="a"/>
    <w:uiPriority w:val="99"/>
    <w:unhideWhenUsed/>
    <w:rsid w:val="00C50E36"/>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C50E36"/>
    <w:rPr>
      <w:sz w:val="18"/>
      <w:szCs w:val="18"/>
    </w:rPr>
  </w:style>
  <w:style w:type="character" w:customStyle="1" w:styleId="Char">
    <w:name w:val="批注框文本 Char"/>
    <w:basedOn w:val="a0"/>
    <w:link w:val="a5"/>
    <w:uiPriority w:val="99"/>
    <w:semiHidden/>
    <w:rsid w:val="00C50E3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C50E36"/>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C50E36"/>
    <w:rPr>
      <w:rFonts w:ascii="宋体" w:eastAsia="宋体" w:hAnsi="宋体" w:cs="宋体"/>
      <w:b/>
      <w:bCs/>
      <w:kern w:val="0"/>
      <w:sz w:val="27"/>
      <w:szCs w:val="27"/>
    </w:rPr>
  </w:style>
  <w:style w:type="character" w:styleId="a3">
    <w:name w:val="Hyperlink"/>
    <w:basedOn w:val="a0"/>
    <w:uiPriority w:val="99"/>
    <w:semiHidden/>
    <w:unhideWhenUsed/>
    <w:rsid w:val="00C50E36"/>
    <w:rPr>
      <w:strike w:val="0"/>
      <w:dstrike w:val="0"/>
      <w:color w:val="0051A8"/>
      <w:u w:val="none"/>
      <w:effect w:val="none"/>
    </w:rPr>
  </w:style>
  <w:style w:type="paragraph" w:styleId="a4">
    <w:name w:val="Normal (Web)"/>
    <w:basedOn w:val="a"/>
    <w:uiPriority w:val="99"/>
    <w:unhideWhenUsed/>
    <w:rsid w:val="00C50E36"/>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C50E36"/>
    <w:rPr>
      <w:sz w:val="18"/>
      <w:szCs w:val="18"/>
    </w:rPr>
  </w:style>
  <w:style w:type="character" w:customStyle="1" w:styleId="Char">
    <w:name w:val="批注框文本 Char"/>
    <w:basedOn w:val="a0"/>
    <w:link w:val="a5"/>
    <w:uiPriority w:val="99"/>
    <w:semiHidden/>
    <w:rsid w:val="00C50E3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203409">
      <w:bodyDiv w:val="1"/>
      <w:marLeft w:val="0"/>
      <w:marRight w:val="0"/>
      <w:marTop w:val="0"/>
      <w:marBottom w:val="0"/>
      <w:divBdr>
        <w:top w:val="none" w:sz="0" w:space="0" w:color="auto"/>
        <w:left w:val="none" w:sz="0" w:space="0" w:color="auto"/>
        <w:bottom w:val="none" w:sz="0" w:space="0" w:color="auto"/>
        <w:right w:val="none" w:sz="0" w:space="0" w:color="auto"/>
      </w:divBdr>
      <w:divsChild>
        <w:div w:id="681664357">
          <w:marLeft w:val="0"/>
          <w:marRight w:val="0"/>
          <w:marTop w:val="0"/>
          <w:marBottom w:val="0"/>
          <w:divBdr>
            <w:top w:val="none" w:sz="0" w:space="0" w:color="auto"/>
            <w:left w:val="none" w:sz="0" w:space="0" w:color="auto"/>
            <w:bottom w:val="none" w:sz="0" w:space="0" w:color="auto"/>
            <w:right w:val="none" w:sz="0" w:space="0" w:color="auto"/>
          </w:divBdr>
          <w:divsChild>
            <w:div w:id="1241407466">
              <w:marLeft w:val="0"/>
              <w:marRight w:val="0"/>
              <w:marTop w:val="0"/>
              <w:marBottom w:val="0"/>
              <w:divBdr>
                <w:top w:val="none" w:sz="0" w:space="0" w:color="auto"/>
                <w:left w:val="none" w:sz="0" w:space="0" w:color="auto"/>
                <w:bottom w:val="none" w:sz="0" w:space="0" w:color="auto"/>
                <w:right w:val="none" w:sz="0" w:space="0" w:color="auto"/>
              </w:divBdr>
              <w:divsChild>
                <w:div w:id="1873108994">
                  <w:marLeft w:val="0"/>
                  <w:marRight w:val="0"/>
                  <w:marTop w:val="0"/>
                  <w:marBottom w:val="0"/>
                  <w:divBdr>
                    <w:top w:val="none" w:sz="0" w:space="0" w:color="auto"/>
                    <w:left w:val="none" w:sz="0" w:space="0" w:color="auto"/>
                    <w:bottom w:val="none" w:sz="0" w:space="0" w:color="auto"/>
                    <w:right w:val="none" w:sz="0" w:space="0" w:color="auto"/>
                  </w:divBdr>
                  <w:divsChild>
                    <w:div w:id="1801879480">
                      <w:marLeft w:val="150"/>
                      <w:marRight w:val="0"/>
                      <w:marTop w:val="0"/>
                      <w:marBottom w:val="0"/>
                      <w:divBdr>
                        <w:top w:val="none" w:sz="0" w:space="0" w:color="auto"/>
                        <w:left w:val="none" w:sz="0" w:space="0" w:color="auto"/>
                        <w:bottom w:val="none" w:sz="0" w:space="0" w:color="auto"/>
                        <w:right w:val="none" w:sz="0" w:space="0" w:color="auto"/>
                      </w:divBdr>
                      <w:divsChild>
                        <w:div w:id="1287008853">
                          <w:marLeft w:val="0"/>
                          <w:marRight w:val="0"/>
                          <w:marTop w:val="0"/>
                          <w:marBottom w:val="150"/>
                          <w:divBdr>
                            <w:top w:val="none" w:sz="0" w:space="0" w:color="auto"/>
                            <w:left w:val="none" w:sz="0" w:space="0" w:color="auto"/>
                            <w:bottom w:val="none" w:sz="0" w:space="0" w:color="auto"/>
                            <w:right w:val="none" w:sz="0" w:space="0" w:color="auto"/>
                          </w:divBdr>
                          <w:divsChild>
                            <w:div w:id="26297384">
                              <w:marLeft w:val="0"/>
                              <w:marRight w:val="0"/>
                              <w:marTop w:val="0"/>
                              <w:marBottom w:val="0"/>
                              <w:divBdr>
                                <w:top w:val="none" w:sz="0" w:space="0" w:color="auto"/>
                                <w:left w:val="none" w:sz="0" w:space="0" w:color="auto"/>
                                <w:bottom w:val="none" w:sz="0" w:space="0" w:color="auto"/>
                                <w:right w:val="none" w:sz="0" w:space="0" w:color="auto"/>
                              </w:divBdr>
                              <w:divsChild>
                                <w:div w:id="1271550461">
                                  <w:marLeft w:val="0"/>
                                  <w:marRight w:val="0"/>
                                  <w:marTop w:val="0"/>
                                  <w:marBottom w:val="0"/>
                                  <w:divBdr>
                                    <w:top w:val="none" w:sz="0" w:space="0" w:color="auto"/>
                                    <w:left w:val="none" w:sz="0" w:space="0" w:color="auto"/>
                                    <w:bottom w:val="none" w:sz="0" w:space="0" w:color="auto"/>
                                    <w:right w:val="none" w:sz="0" w:space="0" w:color="auto"/>
                                  </w:divBdr>
                                  <w:divsChild>
                                    <w:div w:id="202377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hyperlink" Target="http://www.gdltax.gov.cn/admin/vfs/publish/020001100/20130620093219227.xl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dltax.gov.cn/admin/vfs/publish/020001100/20130620093210684.xls" TargetMode="External"/><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dltax.gov.cn/admin/vfs/publish/020001100/20130620093227675.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482</Words>
  <Characters>2752</Characters>
  <Application>Microsoft Office Word</Application>
  <DocSecurity>0</DocSecurity>
  <Lines>22</Lines>
  <Paragraphs>6</Paragraphs>
  <ScaleCrop>false</ScaleCrop>
  <Company>微软中国</Company>
  <LinksUpToDate>false</LinksUpToDate>
  <CharactersWithSpaces>3228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2013-08-12T08:19:00Z</dcterms:created>
  <dcterms:modified xsi:type="dcterms:W3CDTF">2013-08-12T08:23:00Z</dcterms:modified>
</cp:coreProperties>
</file>