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3E" w:rsidRPr="00691F3E" w:rsidRDefault="00691F3E">
      <w:pPr>
        <w:rPr>
          <w:rFonts w:hint="eastAsia"/>
          <w:sz w:val="24"/>
          <w:szCs w:val="24"/>
        </w:rPr>
      </w:pPr>
      <w:r w:rsidRPr="00691F3E">
        <w:rPr>
          <w:rFonts w:ascii="宋体 ，Arial" w:eastAsia="宋体 ，Arial" w:hAnsi="宋体" w:cs="宋体" w:hint="eastAsia"/>
          <w:color w:val="000000"/>
          <w:kern w:val="0"/>
          <w:sz w:val="24"/>
          <w:szCs w:val="24"/>
        </w:rPr>
        <w:t>中华人民共和国住房和城乡建设部</w:t>
      </w:r>
      <w:r w:rsidRPr="00691F3E">
        <w:rPr>
          <w:rFonts w:ascii="宋体 ，Arial" w:eastAsia="宋体 ，Arial" w:hAnsi="宋体" w:cs="宋体" w:hint="eastAsia"/>
          <w:color w:val="000000"/>
          <w:kern w:val="0"/>
          <w:sz w:val="24"/>
          <w:szCs w:val="24"/>
        </w:rPr>
        <w:t> </w:t>
      </w:r>
      <w:r w:rsidRPr="00691F3E">
        <w:rPr>
          <w:rFonts w:ascii="宋体 ，Arial" w:eastAsia="宋体 ，Arial" w:hAnsi="宋体" w:cs="宋体" w:hint="eastAsia"/>
          <w:color w:val="000000"/>
          <w:kern w:val="0"/>
          <w:sz w:val="24"/>
          <w:szCs w:val="24"/>
        </w:rPr>
        <w:t>中华人民共和国国家发展和改革委员会</w:t>
      </w:r>
      <w:r w:rsidRPr="00691F3E">
        <w:rPr>
          <w:rFonts w:ascii="宋体 ，Arial" w:eastAsia="宋体 ，Arial" w:hAnsi="宋体" w:cs="宋体" w:hint="eastAsia"/>
          <w:color w:val="000000"/>
          <w:kern w:val="0"/>
          <w:sz w:val="24"/>
          <w:szCs w:val="24"/>
        </w:rPr>
        <w:t> </w:t>
      </w:r>
      <w:r w:rsidRPr="00691F3E">
        <w:rPr>
          <w:rFonts w:ascii="宋体 ，Arial" w:eastAsia="宋体 ，Arial" w:hAnsi="宋体" w:cs="宋体" w:hint="eastAsia"/>
          <w:color w:val="000000"/>
          <w:kern w:val="0"/>
          <w:sz w:val="24"/>
          <w:szCs w:val="24"/>
        </w:rPr>
        <w:t>中华人民共和国财政部</w:t>
      </w:r>
      <w:r w:rsidRPr="00691F3E">
        <w:rPr>
          <w:rFonts w:ascii="宋体 ，Arial" w:eastAsia="宋体 ，Arial" w:hAnsi="宋体" w:cs="宋体" w:hint="eastAsia"/>
          <w:color w:val="000000"/>
          <w:kern w:val="0"/>
          <w:sz w:val="24"/>
          <w:szCs w:val="24"/>
        </w:rPr>
        <w:t> </w:t>
      </w:r>
      <w:r w:rsidRPr="00691F3E">
        <w:rPr>
          <w:rFonts w:ascii="宋体 ，Arial" w:eastAsia="宋体 ，Arial" w:hAnsi="宋体" w:cs="宋体" w:hint="eastAsia"/>
          <w:color w:val="000000"/>
          <w:kern w:val="0"/>
          <w:sz w:val="24"/>
          <w:szCs w:val="24"/>
        </w:rPr>
        <w:t>中华人民共和国国土资源部</w:t>
      </w:r>
      <w:r w:rsidRPr="00691F3E">
        <w:rPr>
          <w:rFonts w:ascii="宋体 ，Arial" w:eastAsia="宋体 ，Arial" w:hAnsi="宋体" w:cs="宋体" w:hint="eastAsia"/>
          <w:color w:val="000000"/>
          <w:kern w:val="0"/>
          <w:sz w:val="24"/>
          <w:szCs w:val="24"/>
        </w:rPr>
        <w:t> </w:t>
      </w:r>
      <w:r w:rsidRPr="00691F3E">
        <w:rPr>
          <w:rFonts w:ascii="宋体 ，Arial" w:eastAsia="宋体 ，Arial" w:hAnsi="宋体" w:cs="宋体" w:hint="eastAsia"/>
          <w:color w:val="000000"/>
          <w:kern w:val="0"/>
          <w:sz w:val="24"/>
          <w:szCs w:val="24"/>
        </w:rPr>
        <w:t>中国人民银行</w:t>
      </w:r>
      <w:r w:rsidRPr="00691F3E">
        <w:rPr>
          <w:rFonts w:ascii="宋体 ，Arial" w:eastAsia="宋体 ，Arial" w:hAnsi="宋体" w:cs="宋体" w:hint="eastAsia"/>
          <w:color w:val="000000"/>
          <w:kern w:val="0"/>
          <w:sz w:val="24"/>
          <w:szCs w:val="24"/>
        </w:rPr>
        <w:t> </w:t>
      </w:r>
      <w:r w:rsidRPr="00691F3E">
        <w:rPr>
          <w:rFonts w:ascii="宋体 ，Arial" w:eastAsia="宋体 ，Arial" w:hAnsi="宋体" w:cs="宋体" w:hint="eastAsia"/>
          <w:color w:val="000000"/>
          <w:kern w:val="0"/>
          <w:sz w:val="24"/>
          <w:szCs w:val="24"/>
        </w:rPr>
        <w:t>国家税务总局</w:t>
      </w:r>
      <w:r w:rsidRPr="00691F3E">
        <w:rPr>
          <w:rFonts w:ascii="宋体 ，Arial" w:eastAsia="宋体 ，Arial" w:hAnsi="宋体" w:cs="宋体" w:hint="eastAsia"/>
          <w:color w:val="000000"/>
          <w:kern w:val="0"/>
          <w:sz w:val="24"/>
          <w:szCs w:val="24"/>
        </w:rPr>
        <w:t> </w:t>
      </w:r>
      <w:r w:rsidRPr="00691F3E">
        <w:rPr>
          <w:rFonts w:ascii="宋体 ，Arial" w:eastAsia="宋体 ，Arial" w:hAnsi="宋体" w:cs="宋体" w:hint="eastAsia"/>
          <w:color w:val="000000"/>
          <w:kern w:val="0"/>
          <w:sz w:val="24"/>
          <w:szCs w:val="24"/>
        </w:rPr>
        <w:t>中国银行业监督管理委员会</w:t>
      </w:r>
    </w:p>
    <w:p w:rsidR="00691F3E" w:rsidRPr="00691F3E" w:rsidRDefault="00691F3E">
      <w:pPr>
        <w:rPr>
          <w:rFonts w:ascii="宋体 ，Arial" w:eastAsia="宋体 ，Arial" w:hAnsi="宋体" w:cs="宋体" w:hint="eastAsia"/>
          <w:color w:val="000000"/>
          <w:kern w:val="0"/>
          <w:sz w:val="24"/>
          <w:szCs w:val="24"/>
        </w:rPr>
      </w:pPr>
      <w:r w:rsidRPr="00691F3E">
        <w:rPr>
          <w:rFonts w:ascii="宋体 ，Arial" w:eastAsia="宋体 ，Arial" w:hAnsi="宋体" w:cs="宋体" w:hint="eastAsia"/>
          <w:color w:val="000000"/>
          <w:kern w:val="0"/>
          <w:sz w:val="24"/>
          <w:szCs w:val="24"/>
        </w:rPr>
        <w:t>2012年06月20日</w:t>
      </w:r>
      <w:r w:rsidRPr="00691F3E">
        <w:rPr>
          <w:rFonts w:ascii="宋体 ，Arial" w:eastAsia="宋体 ，Arial" w:hAnsi="宋体" w:cs="宋体" w:hint="eastAsia"/>
          <w:color w:val="000000"/>
          <w:kern w:val="0"/>
          <w:sz w:val="24"/>
          <w:szCs w:val="24"/>
        </w:rPr>
        <w:t xml:space="preserve">                </w:t>
      </w:r>
      <w:r w:rsidRPr="00691F3E">
        <w:rPr>
          <w:rFonts w:ascii="宋体 ，Arial" w:eastAsia="宋体 ，Arial" w:hAnsi="宋体" w:cs="宋体" w:hint="eastAsia"/>
          <w:color w:val="000000"/>
          <w:kern w:val="0"/>
          <w:sz w:val="24"/>
          <w:szCs w:val="24"/>
        </w:rPr>
        <w:t>建保[2012]91号</w:t>
      </w:r>
    </w:p>
    <w:p w:rsidR="00691F3E" w:rsidRDefault="00691F3E" w:rsidP="00691F3E">
      <w:pPr>
        <w:jc w:val="center"/>
        <w:rPr>
          <w:rFonts w:ascii="宋体 ，Arial" w:eastAsia="宋体 ，Arial" w:hAnsi="宋体" w:cs="宋体" w:hint="eastAsia"/>
          <w:color w:val="000000"/>
          <w:kern w:val="0"/>
          <w:sz w:val="18"/>
          <w:szCs w:val="18"/>
        </w:rPr>
      </w:pPr>
      <w:r w:rsidRPr="00691F3E">
        <w:rPr>
          <w:rFonts w:ascii="宋体 ，Arial" w:eastAsia="宋体 ，Arial" w:hAnsi="宋体" w:cs="宋体" w:hint="eastAsia"/>
          <w:b/>
          <w:bCs/>
          <w:color w:val="000000"/>
          <w:kern w:val="0"/>
          <w:sz w:val="33"/>
          <w:szCs w:val="33"/>
        </w:rPr>
        <w:t>关于鼓励民间资本参与保障性安居工程建设有关问题的通知</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各省、自治区、直辖市住房城乡建设厅（委、局），发展改革委</w:t>
      </w:r>
      <w:bookmarkStart w:id="0" w:name="_GoBack"/>
      <w:bookmarkEnd w:id="0"/>
      <w:r w:rsidRPr="00691F3E">
        <w:rPr>
          <w:rFonts w:ascii="宋体 ，Arial" w:eastAsia="宋体 ，Arial" w:hAnsi="宋体" w:cs="宋体" w:hint="eastAsia"/>
          <w:color w:val="000000"/>
          <w:kern w:val="0"/>
          <w:sz w:val="18"/>
          <w:szCs w:val="18"/>
        </w:rPr>
        <w:t>，财政厅（局），国土资源厅（局），中国人民银行上海总部、各分行、营业管理部、省会（首府）城市中心支行、副省级城市中心支行，各省、自治区、直辖市和计划单列市国家税务局、地方税务局，银监局，新疆生产建设兵团建设局、发展改革委、财务局、国土资源局：</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根据《国务院关于鼓励和引导民间投资健康发展的若干意见》（国发[2010]13号）、《国务院办公厅关于鼓励和引导民间投资健康发展重点工作分工的通知》（国办函[2010]120号）和《国务院办公厅关于保障性安居工程建设和管理的指导意见》（国办发[2011]45号）的有关规定，现就支持、鼓励和引导民间资本参与保障性安居工程建设的有关问题通知如下：</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一、多种方式引导民间资本参与保障性安居工程建设</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鼓励和引导民间资本根据市、</w:t>
      </w:r>
      <w:proofErr w:type="gramStart"/>
      <w:r w:rsidRPr="00691F3E">
        <w:rPr>
          <w:rFonts w:ascii="宋体 ，Arial" w:eastAsia="宋体 ，Arial" w:hAnsi="宋体" w:cs="宋体" w:hint="eastAsia"/>
          <w:color w:val="000000"/>
          <w:kern w:val="0"/>
          <w:sz w:val="18"/>
          <w:szCs w:val="18"/>
        </w:rPr>
        <w:t>县保障</w:t>
      </w:r>
      <w:proofErr w:type="gramEnd"/>
      <w:r w:rsidRPr="00691F3E">
        <w:rPr>
          <w:rFonts w:ascii="宋体 ，Arial" w:eastAsia="宋体 ，Arial" w:hAnsi="宋体" w:cs="宋体" w:hint="eastAsia"/>
          <w:color w:val="000000"/>
          <w:kern w:val="0"/>
          <w:sz w:val="18"/>
          <w:szCs w:val="18"/>
        </w:rPr>
        <w:t>性安居工程建设规划和年度计划，通过直接投资、间接投资、参股、委托代建等多种方式参与廉租住房、公共租赁住房、经济适用住房、限价商品住房和棚户区改造住房等保障性安居工程建设，按规定或合同约定的租金标准、价格面向政府核定的保障对象出租、出售。具体方式如下：</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（一）直接投资或参股建设并持有、运营公共租赁住房。</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（二）接受政府委托代建廉租住房和公共租赁住房，建成后由政府按合同约定回购。</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（三）投资建设经济适用住房和限价商品住房。</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（四）在商品住房项目中配建廉租住房和公共租赁住房，按合同约定无偿移交给政府，或由政府以约定的价格回购。</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（五）参与棚户区改造项目建设。</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（六）市、县政府规定的其他形式。</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二、落实民间资本参与保障性安居工程建设的支持政策</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民间资本参与保障性安居工程建设的，享受下列政策支持：</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一）对实行公司化运作并符合贷款条件的项目，银行业金融机构依据《关于认真做好公共租赁住房等保障性安居工程金融服务工作的通知》（银发[2011]193号）的有关规定，按照风险可控、商业可持续原则给予积极支持。</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二）地方政府可采取贴息方式对公共租赁住房建设和运营给予支持，贴息贷款只能用于公共租赁住房建设和运营，不得用于与此无关的项目及开支，贴息幅度及年限按照财政部有关规定执行，具体办法由市、县人民政府制定。民间资本参与各类棚户区改造，享受与国有企业同等的政策。</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（三）可以在政府核定的保障性安居工程建设投资额度内，通过发行企业债券进行项目融资。</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（四）符合财政部、国家税务总局《关于廉租住房经济适用住房和住房租赁有关税收政策的通知》（财税[2008]24号）、《关于城市和国有工矿棚户区改造项目有关税收优惠政策的通知》（财税[2010]42号）</w:t>
      </w:r>
      <w:r w:rsidRPr="00691F3E">
        <w:rPr>
          <w:rFonts w:ascii="宋体 ，Arial" w:eastAsia="宋体 ，Arial" w:hAnsi="宋体" w:cs="宋体" w:hint="eastAsia"/>
          <w:color w:val="000000"/>
          <w:kern w:val="0"/>
          <w:sz w:val="18"/>
          <w:szCs w:val="18"/>
        </w:rPr>
        <w:lastRenderedPageBreak/>
        <w:t>和《关于支持公共租赁住房建设和运营有关税收优惠政策的通知》（财税[2010]88号）规定的，可以享受有关税收优惠政策。同时，按规定免收行政事业性收费和政府性基金。</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（五）用地上适用国家规定的保障性安居工程土地供应和开发利用政策。</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（六）公共租赁住房项目可以规划建设配套商业服务设施，统一管理经营，以实现资金平衡。</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三、营造民间资本参与保障性安居工程建设的良好环境</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各地要高度重视，积极采取措施，消除民间资本参与保障性安居工程建设的政策障碍，加强对民间资本参与保障性住房建设和运营的指导监督，为民间资本参与保障性住房投资、建设、运营和管理创造良好的环境。</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（一）今年8月底前，各地要对本地区民间资本参与保障性安居工程建设和管理的各项政策进行一次梳理，对其中不符合法律、法规和有关政策的规定，予以取消。</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（二）列入年度建设计划的保障性安居工程项目，市、县住房城乡建设部门要及时公布项目名称、位置、占地面积、建设规模、套型结构、总投资、开竣工时间等信息，便于民间资本参与。</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（三）民间资本参与建设的保障性住房，在分配、使用、上市交易、退出管理和财务核算等方面，要遵守国家和地方的有关规定。</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xml:space="preserve">　　（四）各地住房城乡建设部门要严格落实民间资本参与建设的保障性住房的质量责任，切实履行监督管理职责，加大工程质量责任追究力度，依法严肃查处各种违法违规行为。</w:t>
      </w:r>
    </w:p>
    <w:p w:rsidR="00691F3E" w:rsidRPr="00691F3E" w:rsidRDefault="00691F3E" w:rsidP="00691F3E">
      <w:pPr>
        <w:widowControl/>
        <w:spacing w:line="360" w:lineRule="atLeast"/>
        <w:jc w:val="left"/>
        <w:rPr>
          <w:rFonts w:ascii="宋体 ，Arial" w:eastAsia="宋体 ，Arial" w:hAnsi="宋体" w:cs="宋体" w:hint="eastAsia"/>
          <w:color w:val="000000"/>
          <w:kern w:val="0"/>
          <w:sz w:val="18"/>
          <w:szCs w:val="18"/>
        </w:rPr>
      </w:pPr>
      <w:r w:rsidRPr="00691F3E">
        <w:rPr>
          <w:rFonts w:ascii="宋体 ，Arial" w:eastAsia="宋体 ，Arial" w:hAnsi="宋体" w:cs="宋体" w:hint="eastAsia"/>
          <w:color w:val="000000"/>
          <w:kern w:val="0"/>
          <w:sz w:val="18"/>
          <w:szCs w:val="18"/>
        </w:rPr>
        <w:t> </w:t>
      </w:r>
    </w:p>
    <w:p w:rsidR="00691F3E" w:rsidRDefault="00691F3E" w:rsidP="00691F3E">
      <w:pPr>
        <w:rPr>
          <w:rFonts w:hint="eastAsia"/>
        </w:rPr>
      </w:pPr>
      <w:r w:rsidRPr="00691F3E">
        <w:rPr>
          <w:rFonts w:ascii="宋体 ，Arial" w:eastAsia="宋体 ，Arial" w:hAnsi="宋体" w:cs="宋体" w:hint="eastAsia"/>
          <w:color w:val="000000"/>
          <w:kern w:val="0"/>
          <w:sz w:val="18"/>
          <w:szCs w:val="18"/>
        </w:rPr>
        <w:t xml:space="preserve">　　　　　　　　　　　　　　　　中华人民共和国住房和城乡建设部</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中华人民共和国国家发展和改革委员会</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中华人民共和国财政部</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中华人民共和国国土资源部</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中国人民银行</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国家税务总局</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中国银行业监督管理委员会</w:t>
      </w:r>
      <w:r w:rsidRPr="00691F3E">
        <w:rPr>
          <w:rFonts w:ascii="宋体 ，Arial" w:eastAsia="宋体 ，Arial" w:hAnsi="宋体" w:cs="宋体" w:hint="eastAsia"/>
          <w:color w:val="000000"/>
          <w:kern w:val="0"/>
          <w:sz w:val="18"/>
          <w:szCs w:val="18"/>
        </w:rPr>
        <w:br/>
      </w:r>
      <w:proofErr w:type="gramStart"/>
      <w:r w:rsidRPr="00691F3E">
        <w:rPr>
          <w:rFonts w:ascii="宋体 ，Arial" w:eastAsia="宋体 ，Arial" w:hAnsi="宋体" w:cs="宋体" w:hint="eastAsia"/>
          <w:color w:val="000000"/>
          <w:kern w:val="0"/>
          <w:sz w:val="18"/>
          <w:szCs w:val="18"/>
        </w:rPr>
        <w:t xml:space="preserve">　　　　　　　　　　　　　　　　</w:t>
      </w:r>
      <w:proofErr w:type="gramEnd"/>
      <w:r w:rsidRPr="00691F3E">
        <w:rPr>
          <w:rFonts w:ascii="宋体 ，Arial" w:eastAsia="宋体 ，Arial" w:hAnsi="宋体" w:cs="宋体" w:hint="eastAsia"/>
          <w:color w:val="000000"/>
          <w:kern w:val="0"/>
          <w:sz w:val="18"/>
          <w:szCs w:val="18"/>
        </w:rPr>
        <w:t>二</w:t>
      </w:r>
      <w:r w:rsidRPr="00691F3E">
        <w:rPr>
          <w:rFonts w:ascii="MS Mincho" w:eastAsia="MS Mincho" w:hAnsi="MS Mincho" w:cs="MS Mincho" w:hint="eastAsia"/>
          <w:color w:val="000000"/>
          <w:kern w:val="0"/>
          <w:sz w:val="18"/>
          <w:szCs w:val="18"/>
        </w:rPr>
        <w:t>◯</w:t>
      </w:r>
      <w:r w:rsidRPr="00691F3E">
        <w:rPr>
          <w:rFonts w:ascii="宋体" w:eastAsia="宋体" w:hAnsi="宋体" w:cs="宋体" w:hint="eastAsia"/>
          <w:color w:val="000000"/>
          <w:kern w:val="0"/>
          <w:sz w:val="18"/>
          <w:szCs w:val="18"/>
        </w:rPr>
        <w:t>一二年六月二十</w:t>
      </w:r>
      <w:r w:rsidRPr="00691F3E">
        <w:rPr>
          <w:rFonts w:ascii="宋体 ，Arial" w:eastAsia="宋体 ，Arial" w:hAnsi="宋体" w:cs="宋体" w:hint="eastAsia"/>
          <w:color w:val="000000"/>
          <w:kern w:val="0"/>
          <w:sz w:val="18"/>
          <w:szCs w:val="18"/>
        </w:rPr>
        <w:t>日</w:t>
      </w:r>
    </w:p>
    <w:p w:rsidR="00691F3E" w:rsidRPr="00691F3E" w:rsidRDefault="00691F3E">
      <w:pPr>
        <w:rPr>
          <w:rFonts w:hint="eastAsia"/>
        </w:rPr>
      </w:pPr>
    </w:p>
    <w:sectPr w:rsidR="00691F3E" w:rsidRPr="00691F3E" w:rsidSect="00691F3E">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C7"/>
    <w:rsid w:val="00195030"/>
    <w:rsid w:val="00691F3E"/>
    <w:rsid w:val="00CB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691F3E"/>
    <w:pPr>
      <w:widowControl/>
      <w:jc w:val="left"/>
    </w:pPr>
    <w:rPr>
      <w:rFonts w:ascii="宋体" w:eastAsia="宋体" w:hAnsi="宋体" w:cs="宋体"/>
      <w:kern w:val="0"/>
      <w:sz w:val="24"/>
      <w:szCs w:val="24"/>
    </w:rPr>
  </w:style>
  <w:style w:type="paragraph" w:styleId="a3">
    <w:name w:val="Date"/>
    <w:basedOn w:val="a"/>
    <w:next w:val="a"/>
    <w:link w:val="Char"/>
    <w:uiPriority w:val="99"/>
    <w:semiHidden/>
    <w:unhideWhenUsed/>
    <w:rsid w:val="00691F3E"/>
    <w:pPr>
      <w:ind w:leftChars="2500" w:left="100"/>
    </w:pPr>
  </w:style>
  <w:style w:type="character" w:customStyle="1" w:styleId="Char">
    <w:name w:val="日期 Char"/>
    <w:basedOn w:val="a0"/>
    <w:link w:val="a3"/>
    <w:uiPriority w:val="99"/>
    <w:semiHidden/>
    <w:rsid w:val="00691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691F3E"/>
    <w:pPr>
      <w:widowControl/>
      <w:jc w:val="left"/>
    </w:pPr>
    <w:rPr>
      <w:rFonts w:ascii="宋体" w:eastAsia="宋体" w:hAnsi="宋体" w:cs="宋体"/>
      <w:kern w:val="0"/>
      <w:sz w:val="24"/>
      <w:szCs w:val="24"/>
    </w:rPr>
  </w:style>
  <w:style w:type="paragraph" w:styleId="a3">
    <w:name w:val="Date"/>
    <w:basedOn w:val="a"/>
    <w:next w:val="a"/>
    <w:link w:val="Char"/>
    <w:uiPriority w:val="99"/>
    <w:semiHidden/>
    <w:unhideWhenUsed/>
    <w:rsid w:val="00691F3E"/>
    <w:pPr>
      <w:ind w:leftChars="2500" w:left="100"/>
    </w:pPr>
  </w:style>
  <w:style w:type="character" w:customStyle="1" w:styleId="Char">
    <w:name w:val="日期 Char"/>
    <w:basedOn w:val="a0"/>
    <w:link w:val="a3"/>
    <w:uiPriority w:val="99"/>
    <w:semiHidden/>
    <w:rsid w:val="0069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68968">
      <w:bodyDiv w:val="1"/>
      <w:marLeft w:val="0"/>
      <w:marRight w:val="0"/>
      <w:marTop w:val="0"/>
      <w:marBottom w:val="0"/>
      <w:divBdr>
        <w:top w:val="none" w:sz="0" w:space="0" w:color="auto"/>
        <w:left w:val="none" w:sz="0" w:space="0" w:color="auto"/>
        <w:bottom w:val="none" w:sz="0" w:space="0" w:color="auto"/>
        <w:right w:val="none" w:sz="0" w:space="0" w:color="auto"/>
      </w:divBdr>
      <w:divsChild>
        <w:div w:id="1535462198">
          <w:marLeft w:val="0"/>
          <w:marRight w:val="0"/>
          <w:marTop w:val="0"/>
          <w:marBottom w:val="0"/>
          <w:divBdr>
            <w:top w:val="none" w:sz="0" w:space="0" w:color="auto"/>
            <w:left w:val="none" w:sz="0" w:space="0" w:color="auto"/>
            <w:bottom w:val="none" w:sz="0" w:space="0" w:color="auto"/>
            <w:right w:val="none" w:sz="0" w:space="0" w:color="auto"/>
          </w:divBdr>
          <w:divsChild>
            <w:div w:id="15551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1768</Characters>
  <Application>Microsoft Office Word</Application>
  <DocSecurity>0</DocSecurity>
  <Lines>14</Lines>
  <Paragraphs>4</Paragraphs>
  <ScaleCrop>false</ScaleCrop>
  <Company>微软中国</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2013-08-16T08:43:00Z</dcterms:created>
  <dcterms:modified xsi:type="dcterms:W3CDTF">2013-08-16T08:46:00Z</dcterms:modified>
</cp:coreProperties>
</file>