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10" w:rsidRPr="00CE7910" w:rsidRDefault="00CE7910" w:rsidP="00CE7910">
      <w:pPr>
        <w:widowControl/>
        <w:spacing w:before="100" w:beforeAutospacing="1" w:after="100" w:afterAutospacing="1" w:line="379" w:lineRule="auto"/>
        <w:jc w:val="center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CE7910">
        <w:rPr>
          <w:rFonts w:ascii="Arial" w:eastAsia="宋体" w:hAnsi="Arial" w:cs="Arial"/>
          <w:color w:val="FF0000"/>
          <w:kern w:val="0"/>
          <w:sz w:val="24"/>
          <w:szCs w:val="24"/>
        </w:rPr>
        <w:t>财政部关于提高石油特别收益金起征点的通知</w:t>
      </w:r>
    </w:p>
    <w:p w:rsidR="00CE7910" w:rsidRPr="00CE7910" w:rsidRDefault="00CE7910" w:rsidP="00CE7910">
      <w:pPr>
        <w:widowControl/>
        <w:spacing w:before="100" w:beforeAutospacing="1" w:after="100" w:afterAutospacing="1" w:line="379" w:lineRule="auto"/>
        <w:jc w:val="center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CE7910">
        <w:rPr>
          <w:rFonts w:ascii="Arial" w:eastAsia="宋体" w:hAnsi="Arial" w:cs="Arial"/>
          <w:color w:val="0000FF"/>
          <w:kern w:val="0"/>
          <w:sz w:val="20"/>
          <w:szCs w:val="20"/>
        </w:rPr>
        <w:t>财企</w:t>
      </w:r>
      <w:r w:rsidRPr="00CE7910">
        <w:rPr>
          <w:rFonts w:ascii="Arial" w:eastAsia="宋体" w:hAnsi="Arial" w:cs="Arial"/>
          <w:color w:val="0000FF"/>
          <w:kern w:val="0"/>
          <w:sz w:val="20"/>
          <w:szCs w:val="20"/>
        </w:rPr>
        <w:t>[2011]480</w:t>
      </w:r>
      <w:r w:rsidRPr="00CE7910">
        <w:rPr>
          <w:rFonts w:ascii="Arial" w:eastAsia="宋体" w:hAnsi="Arial" w:cs="Arial"/>
          <w:color w:val="0000FF"/>
          <w:kern w:val="0"/>
          <w:sz w:val="20"/>
          <w:szCs w:val="20"/>
        </w:rPr>
        <w:t>号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       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　　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   2011.12.29</w:t>
      </w:r>
    </w:p>
    <w:p w:rsidR="00CE7910" w:rsidRPr="00CE7910" w:rsidRDefault="00CE7910" w:rsidP="00CE7910">
      <w:pPr>
        <w:widowControl/>
        <w:spacing w:before="100" w:beforeAutospacing="1" w:after="100" w:afterAutospacing="1" w:line="379" w:lineRule="auto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国务院有关部委、有关直属机构，各省、自治区、直辖市、计划单列市财政厅（局），中国石油天然气集团公司、中国石油化工集团公</w:t>
      </w:r>
      <w:bookmarkStart w:id="0" w:name="_GoBack"/>
      <w:bookmarkEnd w:id="0"/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司、中国海洋石油总公司：　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br/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经国务院批准，财政部决定从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2011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年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11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月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1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日起，将石油特别收益金起征</w:t>
      </w:r>
      <w:proofErr w:type="gramStart"/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点提高</w:t>
      </w:r>
      <w:proofErr w:type="gramEnd"/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至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55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美元。</w:t>
      </w:r>
    </w:p>
    <w:p w:rsidR="00CE7910" w:rsidRPr="00CE7910" w:rsidRDefault="00CE7910" w:rsidP="00CE7910">
      <w:pPr>
        <w:widowControl/>
        <w:spacing w:before="100" w:beforeAutospacing="1" w:after="100" w:afterAutospacing="1" w:line="379" w:lineRule="auto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起征</w:t>
      </w:r>
      <w:proofErr w:type="gramStart"/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点提高</w:t>
      </w:r>
      <w:proofErr w:type="gramEnd"/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后，石油特别收益金</w:t>
      </w:r>
      <w:proofErr w:type="gramStart"/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征收仍</w:t>
      </w:r>
      <w:proofErr w:type="gramEnd"/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实行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5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级超额累进从价定率计征，按月计算、按季缴纳。</w:t>
      </w:r>
    </w:p>
    <w:p w:rsidR="00CE7910" w:rsidRPr="00CE7910" w:rsidRDefault="00CE7910" w:rsidP="00CE7910">
      <w:pPr>
        <w:widowControl/>
        <w:spacing w:before="100" w:beforeAutospacing="1" w:after="100" w:afterAutospacing="1" w:line="379" w:lineRule="auto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具体征收比率及速算扣除数见下表（计算公式见附表）：</w:t>
      </w: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 xml:space="preserve">  </w:t>
      </w:r>
    </w:p>
    <w:tbl>
      <w:tblPr>
        <w:tblW w:w="55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654"/>
        <w:gridCol w:w="1996"/>
      </w:tblGrid>
      <w:tr w:rsidR="00CE7910" w:rsidRPr="00CE7910">
        <w:trPr>
          <w:tblCellSpacing w:w="0" w:type="dxa"/>
          <w:jc w:val="center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原油价格（美元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/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桶）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 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征收比率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速算扣除数（美元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/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桶）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 </w:t>
            </w:r>
          </w:p>
        </w:tc>
      </w:tr>
      <w:tr w:rsidR="00CE7910" w:rsidRPr="00CE7910">
        <w:trPr>
          <w:tblCellSpacing w:w="0" w:type="dxa"/>
          <w:jc w:val="center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55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～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60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20%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0</w:t>
            </w:r>
          </w:p>
        </w:tc>
      </w:tr>
      <w:tr w:rsidR="00CE7910" w:rsidRPr="00CE7910">
        <w:trPr>
          <w:tblCellSpacing w:w="0" w:type="dxa"/>
          <w:jc w:val="center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60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～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65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25%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0.25</w:t>
            </w:r>
          </w:p>
        </w:tc>
      </w:tr>
      <w:tr w:rsidR="00CE7910" w:rsidRPr="00CE7910">
        <w:trPr>
          <w:tblCellSpacing w:w="0" w:type="dxa"/>
          <w:jc w:val="center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65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～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70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30%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0.75</w:t>
            </w:r>
          </w:p>
        </w:tc>
      </w:tr>
      <w:tr w:rsidR="00CE7910" w:rsidRPr="00CE7910">
        <w:trPr>
          <w:tblCellSpacing w:w="0" w:type="dxa"/>
          <w:jc w:val="center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70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～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75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（含）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35%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1.5</w:t>
            </w:r>
          </w:p>
        </w:tc>
      </w:tr>
      <w:tr w:rsidR="00CE7910" w:rsidRPr="00CE7910">
        <w:trPr>
          <w:tblCellSpacing w:w="0" w:type="dxa"/>
          <w:jc w:val="center"/>
        </w:trPr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75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以上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40%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910" w:rsidRPr="00CE7910" w:rsidRDefault="00CE7910" w:rsidP="00CE7910">
            <w:pPr>
              <w:widowControl/>
              <w:spacing w:before="100" w:beforeAutospacing="1" w:after="100" w:afterAutospacing="1" w:line="379" w:lineRule="auto"/>
              <w:jc w:val="center"/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</w:pP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 xml:space="preserve">　　</w:t>
            </w:r>
            <w:r w:rsidRPr="00CE7910">
              <w:rPr>
                <w:rFonts w:ascii="Arial" w:eastAsia="宋体" w:hAnsi="Arial" w:cs="Arial"/>
                <w:color w:val="454545"/>
                <w:kern w:val="0"/>
                <w:sz w:val="18"/>
                <w:szCs w:val="18"/>
              </w:rPr>
              <w:t>2.5</w:t>
            </w:r>
          </w:p>
        </w:tc>
      </w:tr>
    </w:tbl>
    <w:p w:rsidR="00CE7910" w:rsidRDefault="00CE7910" w:rsidP="00CE7910">
      <w:pPr>
        <w:widowControl/>
        <w:spacing w:before="100" w:beforeAutospacing="1" w:after="240" w:line="379" w:lineRule="auto"/>
        <w:jc w:val="left"/>
        <w:rPr>
          <w:rFonts w:ascii="Arial" w:eastAsia="宋体" w:hAnsi="Arial" w:cs="Arial" w:hint="eastAsia"/>
          <w:color w:val="454545"/>
          <w:kern w:val="0"/>
          <w:sz w:val="20"/>
          <w:szCs w:val="20"/>
        </w:rPr>
      </w:pPr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石油特别收益金起征</w:t>
      </w:r>
      <w:proofErr w:type="gramStart"/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点提高</w:t>
      </w:r>
      <w:proofErr w:type="gramEnd"/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后，其他征收管理的有关问题，仍按照《</w:t>
      </w:r>
      <w:hyperlink r:id="rId5" w:history="1">
        <w:r w:rsidRPr="00CE7910">
          <w:rPr>
            <w:rFonts w:ascii="Arial" w:eastAsia="宋体" w:hAnsi="Arial" w:cs="Arial"/>
            <w:color w:val="FF0000"/>
            <w:kern w:val="0"/>
            <w:sz w:val="20"/>
            <w:szCs w:val="20"/>
          </w:rPr>
          <w:t>财政部关于印发〈石油特别收益金征收管理办法〉的通知</w:t>
        </w:r>
      </w:hyperlink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》（</w:t>
      </w:r>
      <w:hyperlink r:id="rId6" w:history="1">
        <w:r w:rsidRPr="00CE7910">
          <w:rPr>
            <w:rFonts w:ascii="Arial" w:eastAsia="宋体" w:hAnsi="Arial" w:cs="Arial"/>
            <w:color w:val="0000FF"/>
            <w:kern w:val="0"/>
            <w:sz w:val="20"/>
            <w:szCs w:val="20"/>
          </w:rPr>
          <w:t>财企</w:t>
        </w:r>
        <w:r w:rsidRPr="00CE7910">
          <w:rPr>
            <w:rFonts w:ascii="Arial" w:eastAsia="宋体" w:hAnsi="Arial" w:cs="Arial"/>
            <w:color w:val="0000FF"/>
            <w:kern w:val="0"/>
            <w:sz w:val="20"/>
            <w:szCs w:val="20"/>
          </w:rPr>
          <w:t>[2006]72</w:t>
        </w:r>
        <w:r w:rsidRPr="00CE7910">
          <w:rPr>
            <w:rFonts w:ascii="Arial" w:eastAsia="宋体" w:hAnsi="Arial" w:cs="Arial"/>
            <w:color w:val="0000FF"/>
            <w:kern w:val="0"/>
            <w:sz w:val="20"/>
            <w:szCs w:val="20"/>
          </w:rPr>
          <w:t>号</w:t>
        </w:r>
      </w:hyperlink>
      <w:r w:rsidRPr="00CE7910">
        <w:rPr>
          <w:rFonts w:ascii="Arial" w:eastAsia="宋体" w:hAnsi="Arial" w:cs="Arial"/>
          <w:color w:val="454545"/>
          <w:kern w:val="0"/>
          <w:sz w:val="20"/>
          <w:szCs w:val="20"/>
        </w:rPr>
        <w:t>）的有关规定执行。</w:t>
      </w:r>
    </w:p>
    <w:p w:rsidR="00CE7910" w:rsidRDefault="00CE7910" w:rsidP="00CE7910">
      <w:pPr>
        <w:widowControl/>
        <w:spacing w:before="100" w:beforeAutospacing="1" w:after="240" w:line="379" w:lineRule="auto"/>
        <w:jc w:val="left"/>
        <w:rPr>
          <w:rFonts w:ascii="Arial" w:eastAsia="宋体" w:hAnsi="Arial" w:cs="Arial" w:hint="eastAsia"/>
          <w:color w:val="454545"/>
          <w:kern w:val="0"/>
          <w:sz w:val="20"/>
          <w:szCs w:val="20"/>
        </w:rPr>
      </w:pPr>
    </w:p>
    <w:p w:rsidR="00CE7910" w:rsidRDefault="00CE7910" w:rsidP="00CE7910">
      <w:pPr>
        <w:widowControl/>
        <w:spacing w:before="100" w:beforeAutospacing="1" w:after="240" w:line="379" w:lineRule="auto"/>
        <w:jc w:val="left"/>
        <w:rPr>
          <w:rFonts w:ascii="Arial" w:eastAsia="宋体" w:hAnsi="Arial" w:cs="Arial" w:hint="eastAsia"/>
          <w:color w:val="454545"/>
          <w:kern w:val="0"/>
          <w:sz w:val="20"/>
          <w:szCs w:val="20"/>
        </w:rPr>
      </w:pPr>
    </w:p>
    <w:p w:rsidR="00CE7910" w:rsidRPr="00CE7910" w:rsidRDefault="00CE7910" w:rsidP="00CE7910">
      <w:pPr>
        <w:widowControl/>
        <w:spacing w:before="100" w:beforeAutospacing="1" w:after="240" w:line="379" w:lineRule="auto"/>
        <w:jc w:val="left"/>
        <w:rPr>
          <w:rFonts w:ascii="Arial" w:eastAsia="宋体" w:hAnsi="Arial" w:cs="Arial"/>
          <w:color w:val="454545"/>
          <w:kern w:val="0"/>
          <w:sz w:val="18"/>
          <w:szCs w:val="18"/>
        </w:rPr>
      </w:pPr>
    </w:p>
    <w:tbl>
      <w:tblPr>
        <w:tblW w:w="12340" w:type="dxa"/>
        <w:tblInd w:w="93" w:type="dxa"/>
        <w:tblLook w:val="04A0" w:firstRow="1" w:lastRow="0" w:firstColumn="1" w:lastColumn="0" w:noHBand="0" w:noVBand="1"/>
      </w:tblPr>
      <w:tblGrid>
        <w:gridCol w:w="4500"/>
        <w:gridCol w:w="1000"/>
        <w:gridCol w:w="1040"/>
        <w:gridCol w:w="1000"/>
        <w:gridCol w:w="1060"/>
        <w:gridCol w:w="3740"/>
      </w:tblGrid>
      <w:tr w:rsidR="00CE7910" w:rsidRPr="00CE7910" w:rsidTr="00CE7910">
        <w:trPr>
          <w:trHeight w:val="46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附表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7910" w:rsidRPr="00CE7910" w:rsidTr="00CE7910">
        <w:trPr>
          <w:trHeight w:val="480"/>
        </w:trPr>
        <w:tc>
          <w:tcPr>
            <w:tcW w:w="12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 w:rsidRPr="00CE7910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石油特别收益金申报表</w:t>
            </w:r>
          </w:p>
        </w:tc>
      </w:tr>
      <w:tr w:rsidR="00CE7910" w:rsidRPr="00CE7910" w:rsidTr="00CE7910">
        <w:trPr>
          <w:trHeight w:val="405"/>
        </w:trPr>
        <w:tc>
          <w:tcPr>
            <w:tcW w:w="12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××年×月</w:t>
            </w:r>
          </w:p>
        </w:tc>
      </w:tr>
      <w:tr w:rsidR="00CE7910" w:rsidRPr="00CE7910" w:rsidTr="00CE7910">
        <w:trPr>
          <w:trHeight w:val="48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企业名称：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石油开采企业名称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销售价格</w:t>
            </w:r>
            <w:r w:rsidRPr="00CE79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</w:t>
            </w: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CE79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</w:t>
            </w: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销售数量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应缴纳石油特别收益金（元）</w:t>
            </w:r>
            <w:r w:rsidRPr="00CE79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CE79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</w:t>
            </w: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 w:rsidRPr="00CE79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吨（</w:t>
            </w:r>
            <w:r w:rsidRPr="00CE79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</w:t>
            </w: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美元</w:t>
            </w:r>
            <w:r w:rsidRPr="00CE79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桶（</w:t>
            </w:r>
            <w:r w:rsidRPr="00CE79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</w:t>
            </w: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吨</w:t>
            </w:r>
            <w:r w:rsidRPr="00CE79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CE79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</w:t>
            </w: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桶</w:t>
            </w:r>
            <w:r w:rsidRPr="00CE79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CE791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</w:t>
            </w: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－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E7910" w:rsidRPr="00CE7910" w:rsidTr="00CE7910">
        <w:trPr>
          <w:trHeight w:val="402"/>
        </w:trPr>
        <w:tc>
          <w:tcPr>
            <w:tcW w:w="12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注：（1）a</w:t>
            </w:r>
            <w:proofErr w:type="gramStart"/>
            <w:r w:rsidRPr="00CE79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指石油</w:t>
            </w:r>
            <w:proofErr w:type="gramEnd"/>
            <w:r w:rsidRPr="00CE79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开采企业当月销售原油所实现的加权平均销售价格，按当月实际销售收入除以销售量计算</w:t>
            </w:r>
          </w:p>
        </w:tc>
      </w:tr>
      <w:tr w:rsidR="00CE7910" w:rsidRPr="00CE7910" w:rsidTr="00CE7910">
        <w:trPr>
          <w:trHeight w:val="402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（2）c＝b/(</w:t>
            </w:r>
            <w:proofErr w:type="gramStart"/>
            <w:r w:rsidRPr="00CE79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吨桶比</w:t>
            </w:r>
            <w:proofErr w:type="gramEnd"/>
            <w:r w:rsidRPr="00CE79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×美元兑换人民币汇率)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E7910" w:rsidRPr="00CE7910" w:rsidTr="00CE7910">
        <w:trPr>
          <w:trHeight w:val="402"/>
        </w:trPr>
        <w:tc>
          <w:tcPr>
            <w:tcW w:w="12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（3）f＝[(c-55)×征收率－速算扣除数]×d×</w:t>
            </w:r>
            <w:proofErr w:type="gramStart"/>
            <w:r w:rsidRPr="00CE79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吨桶比</w:t>
            </w:r>
            <w:proofErr w:type="gramEnd"/>
            <w:r w:rsidRPr="00CE79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×美元兑换人民币汇率</w:t>
            </w:r>
          </w:p>
        </w:tc>
      </w:tr>
      <w:tr w:rsidR="00CE7910" w:rsidRPr="00CE7910" w:rsidTr="00CE7910">
        <w:trPr>
          <w:trHeight w:val="402"/>
        </w:trPr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E791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＝[(c-55)×征收率－速算扣除数]×e×美元兑换人民币汇率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E7910" w:rsidRPr="00CE7910" w:rsidTr="00CE7910">
        <w:trPr>
          <w:trHeight w:val="40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7910" w:rsidRPr="00CE7910" w:rsidTr="00CE7910">
        <w:trPr>
          <w:trHeight w:val="28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10" w:rsidRPr="00CE7910" w:rsidRDefault="00CE7910" w:rsidP="00CE79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A281F" w:rsidRPr="00CE7910" w:rsidRDefault="003A281F">
      <w:pPr>
        <w:rPr>
          <w:rFonts w:hint="eastAsia"/>
        </w:rPr>
      </w:pPr>
    </w:p>
    <w:sectPr w:rsidR="003A281F" w:rsidRPr="00CE7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F9"/>
    <w:rsid w:val="001167F9"/>
    <w:rsid w:val="003A281F"/>
    <w:rsid w:val="00C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910"/>
    <w:rPr>
      <w:strike w:val="0"/>
      <w:dstrike w:val="0"/>
      <w:color w:val="284C6F"/>
      <w:u w:val="none"/>
      <w:effect w:val="none"/>
    </w:rPr>
  </w:style>
  <w:style w:type="paragraph" w:styleId="a4">
    <w:name w:val="Normal (Web)"/>
    <w:basedOn w:val="a"/>
    <w:uiPriority w:val="99"/>
    <w:unhideWhenUsed/>
    <w:rsid w:val="00CE7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910"/>
    <w:rPr>
      <w:strike w:val="0"/>
      <w:dstrike w:val="0"/>
      <w:color w:val="284C6F"/>
      <w:u w:val="none"/>
      <w:effect w:val="none"/>
    </w:rPr>
  </w:style>
  <w:style w:type="paragraph" w:styleId="a4">
    <w:name w:val="Normal (Web)"/>
    <w:basedOn w:val="a"/>
    <w:uiPriority w:val="99"/>
    <w:unhideWhenUsed/>
    <w:rsid w:val="00CE7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hui5.cn/article/c6/38778.html" TargetMode="External"/><Relationship Id="rId5" Type="http://schemas.openxmlformats.org/officeDocument/2006/relationships/hyperlink" Target="http://www.shui5.cn/article/c6/3877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909</Characters>
  <Application>Microsoft Office Word</Application>
  <DocSecurity>0</DocSecurity>
  <Lines>7</Lines>
  <Paragraphs>2</Paragraphs>
  <ScaleCrop>false</ScaleCrop>
  <Company>微软中国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2013-08-15T08:54:00Z</dcterms:created>
  <dcterms:modified xsi:type="dcterms:W3CDTF">2013-08-15T08:56:00Z</dcterms:modified>
</cp:coreProperties>
</file>