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关于第二届夏季青年奥林匹克运动会等三项国际综合运动</w:t>
      </w:r>
      <w:proofErr w:type="gramStart"/>
      <w:r>
        <w:rPr>
          <w:rFonts w:ascii="simsun" w:hAnsi="simsun"/>
          <w:color w:val="323E32"/>
          <w:sz w:val="21"/>
          <w:szCs w:val="21"/>
        </w:rPr>
        <w:t>会税收</w:t>
      </w:r>
      <w:proofErr w:type="gramEnd"/>
      <w:r>
        <w:rPr>
          <w:rFonts w:ascii="simsun" w:hAnsi="simsun"/>
          <w:color w:val="323E32"/>
          <w:sz w:val="21"/>
          <w:szCs w:val="21"/>
        </w:rPr>
        <w:t>政策的通知</w:t>
      </w:r>
      <w:r>
        <w:rPr>
          <w:rFonts w:ascii="simsun" w:hAnsi="simsun"/>
          <w:color w:val="323E32"/>
          <w:sz w:val="21"/>
          <w:szCs w:val="21"/>
        </w:rPr>
        <w:t>  </w:t>
      </w:r>
      <w:r>
        <w:rPr>
          <w:rFonts w:ascii="simsun" w:hAnsi="simsun"/>
          <w:color w:val="323E32"/>
          <w:sz w:val="21"/>
          <w:szCs w:val="21"/>
        </w:rPr>
        <w:br/>
      </w:r>
      <w:r>
        <w:rPr>
          <w:rFonts w:ascii="simsun" w:hAnsi="simsun"/>
          <w:color w:val="323E32"/>
          <w:sz w:val="21"/>
          <w:szCs w:val="21"/>
        </w:rPr>
        <w:t>财税〔</w:t>
      </w:r>
      <w:r>
        <w:rPr>
          <w:rFonts w:ascii="simsun" w:hAnsi="simsun"/>
          <w:color w:val="323E32"/>
          <w:sz w:val="21"/>
          <w:szCs w:val="21"/>
        </w:rPr>
        <w:t>2013</w:t>
      </w:r>
      <w:r>
        <w:rPr>
          <w:rFonts w:ascii="simsun" w:hAnsi="simsun"/>
          <w:color w:val="323E32"/>
          <w:sz w:val="21"/>
          <w:szCs w:val="21"/>
        </w:rPr>
        <w:t>〕</w:t>
      </w:r>
      <w:r>
        <w:rPr>
          <w:rFonts w:ascii="simsun" w:hAnsi="simsun"/>
          <w:color w:val="323E32"/>
          <w:sz w:val="21"/>
          <w:szCs w:val="21"/>
        </w:rPr>
        <w:t>11</w:t>
      </w:r>
      <w:r>
        <w:rPr>
          <w:rFonts w:ascii="simsun" w:hAnsi="simsun"/>
          <w:color w:val="323E32"/>
          <w:sz w:val="21"/>
          <w:szCs w:val="21"/>
        </w:rPr>
        <w:t xml:space="preserve">号　　</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各省、自治区、直辖市、计划单列市财政厅（局）、国家税务局、地方税务局，新疆生产建设兵团财务局，海关总署广东分署、各直属海关：</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经国务院批准，现就</w:t>
      </w:r>
      <w:r>
        <w:rPr>
          <w:rFonts w:ascii="simsun" w:hAnsi="simsun"/>
          <w:color w:val="323E32"/>
          <w:sz w:val="21"/>
          <w:szCs w:val="21"/>
        </w:rPr>
        <w:t>2014</w:t>
      </w:r>
      <w:r>
        <w:rPr>
          <w:rFonts w:ascii="simsun" w:hAnsi="simsun"/>
          <w:color w:val="323E32"/>
          <w:sz w:val="21"/>
          <w:szCs w:val="21"/>
        </w:rPr>
        <w:t>年南京第二届夏季青年奥林匹克运动会（以下</w:t>
      </w:r>
      <w:bookmarkStart w:id="0" w:name="_GoBack"/>
      <w:bookmarkEnd w:id="0"/>
      <w:proofErr w:type="gramStart"/>
      <w:r>
        <w:rPr>
          <w:rFonts w:ascii="simsun" w:hAnsi="simsun"/>
          <w:color w:val="323E32"/>
          <w:sz w:val="21"/>
          <w:szCs w:val="21"/>
        </w:rPr>
        <w:t>简称青奥会</w:t>
      </w:r>
      <w:proofErr w:type="gramEnd"/>
      <w:r>
        <w:rPr>
          <w:rFonts w:ascii="simsun" w:hAnsi="simsun"/>
          <w:color w:val="323E32"/>
          <w:sz w:val="21"/>
          <w:szCs w:val="21"/>
        </w:rPr>
        <w:t>）、</w:t>
      </w:r>
      <w:r>
        <w:rPr>
          <w:rFonts w:ascii="simsun" w:hAnsi="simsun"/>
          <w:color w:val="323E32"/>
          <w:sz w:val="21"/>
          <w:szCs w:val="21"/>
        </w:rPr>
        <w:t>2013</w:t>
      </w:r>
      <w:r>
        <w:rPr>
          <w:rFonts w:ascii="simsun" w:hAnsi="simsun"/>
          <w:color w:val="323E32"/>
          <w:sz w:val="21"/>
          <w:szCs w:val="21"/>
        </w:rPr>
        <w:t>年南京第二届亚洲青年运动会（以下简称亚青会）和</w:t>
      </w:r>
      <w:r>
        <w:rPr>
          <w:rFonts w:ascii="simsun" w:hAnsi="simsun"/>
          <w:color w:val="323E32"/>
          <w:sz w:val="21"/>
          <w:szCs w:val="21"/>
        </w:rPr>
        <w:t>2013</w:t>
      </w:r>
      <w:r>
        <w:rPr>
          <w:rFonts w:ascii="simsun" w:hAnsi="simsun"/>
          <w:color w:val="323E32"/>
          <w:sz w:val="21"/>
          <w:szCs w:val="21"/>
        </w:rPr>
        <w:t>年天津第六届东亚运动会（以下简称东亚会）等三项国际综合运动会的有关税收政策问题通知如下：</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一、</w:t>
      </w:r>
      <w:proofErr w:type="gramStart"/>
      <w:r>
        <w:rPr>
          <w:rFonts w:ascii="simsun" w:hAnsi="simsun"/>
          <w:color w:val="323E32"/>
          <w:sz w:val="21"/>
          <w:szCs w:val="21"/>
        </w:rPr>
        <w:t>关于青奥会</w:t>
      </w:r>
      <w:proofErr w:type="gramEnd"/>
      <w:r>
        <w:rPr>
          <w:rFonts w:ascii="simsun" w:hAnsi="simsun"/>
          <w:color w:val="323E32"/>
          <w:sz w:val="21"/>
          <w:szCs w:val="21"/>
        </w:rPr>
        <w:t>组织委员会、亚青会组织委员会和东亚会组织委员会（以下统称组委会）的税收政策</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w:t>
      </w:r>
      <w:r>
        <w:rPr>
          <w:rFonts w:ascii="simsun" w:hAnsi="simsun"/>
          <w:color w:val="323E32"/>
          <w:sz w:val="21"/>
          <w:szCs w:val="21"/>
        </w:rPr>
        <w:t>1.</w:t>
      </w:r>
      <w:r>
        <w:rPr>
          <w:rFonts w:ascii="simsun" w:hAnsi="simsun"/>
          <w:color w:val="323E32"/>
          <w:sz w:val="21"/>
          <w:szCs w:val="21"/>
        </w:rPr>
        <w:t>对组委会取得的电视转播权销售分成收入、赞助计划分成收入（包括实物和资金），免征应缴纳的营业税。</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w:t>
      </w:r>
      <w:r>
        <w:rPr>
          <w:rFonts w:ascii="simsun" w:hAnsi="simsun"/>
          <w:color w:val="323E32"/>
          <w:sz w:val="21"/>
          <w:szCs w:val="21"/>
        </w:rPr>
        <w:t>2.</w:t>
      </w:r>
      <w:r>
        <w:rPr>
          <w:rFonts w:ascii="simsun" w:hAnsi="simsun"/>
          <w:color w:val="323E32"/>
          <w:sz w:val="21"/>
          <w:szCs w:val="21"/>
        </w:rPr>
        <w:t>对组委会取得的国内外赞助收入、转让无形资产（如标志）特许收入、宣传推广费收入、销售门票收入及所发收费卡收入，免征应缴纳的营业税。</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w:t>
      </w:r>
      <w:r>
        <w:rPr>
          <w:rFonts w:ascii="simsun" w:hAnsi="simsun"/>
          <w:color w:val="323E32"/>
          <w:sz w:val="21"/>
          <w:szCs w:val="21"/>
        </w:rPr>
        <w:t>3.</w:t>
      </w:r>
      <w:r>
        <w:rPr>
          <w:rFonts w:ascii="simsun" w:hAnsi="simsun"/>
          <w:color w:val="323E32"/>
          <w:sz w:val="21"/>
          <w:szCs w:val="21"/>
        </w:rPr>
        <w:t>对组委会取得的与国家邮政局合作发行纪念邮票收入、与中国人民银行合作发行纪念币收入，免征应缴纳的营业税。</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w:t>
      </w:r>
      <w:r>
        <w:rPr>
          <w:rFonts w:ascii="simsun" w:hAnsi="simsun"/>
          <w:color w:val="323E32"/>
          <w:sz w:val="21"/>
          <w:szCs w:val="21"/>
        </w:rPr>
        <w:t>4.</w:t>
      </w:r>
      <w:r>
        <w:rPr>
          <w:rFonts w:ascii="simsun" w:hAnsi="simsun"/>
          <w:color w:val="323E32"/>
          <w:sz w:val="21"/>
          <w:szCs w:val="21"/>
        </w:rPr>
        <w:t>对组委会取得的来源于广播、因特网、电视等媒体收入，免征应缴纳的营业税。</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w:t>
      </w:r>
      <w:r>
        <w:rPr>
          <w:rFonts w:ascii="simsun" w:hAnsi="simsun"/>
          <w:color w:val="323E32"/>
          <w:sz w:val="21"/>
          <w:szCs w:val="21"/>
        </w:rPr>
        <w:t>5.</w:t>
      </w:r>
      <w:r>
        <w:rPr>
          <w:rFonts w:ascii="simsun" w:hAnsi="simsun"/>
          <w:color w:val="323E32"/>
          <w:sz w:val="21"/>
          <w:szCs w:val="21"/>
        </w:rPr>
        <w:t>对组委会按国际奥委会、亚奥理事会或东亚运动会联合会理事会核定价格收取的运动员食宿费及提供有关服务取得的收入，免征应缴纳的营业税。</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w:t>
      </w:r>
      <w:r>
        <w:rPr>
          <w:rFonts w:ascii="simsun" w:hAnsi="simsun"/>
          <w:color w:val="323E32"/>
          <w:sz w:val="21"/>
          <w:szCs w:val="21"/>
        </w:rPr>
        <w:t>6.</w:t>
      </w:r>
      <w:r>
        <w:rPr>
          <w:rFonts w:ascii="simsun" w:hAnsi="simsun"/>
          <w:color w:val="323E32"/>
          <w:sz w:val="21"/>
          <w:szCs w:val="21"/>
        </w:rPr>
        <w:t>对组委会赛后出让资产取得的收入，免征应缴纳的营业税。</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w:t>
      </w:r>
      <w:r>
        <w:rPr>
          <w:rFonts w:ascii="simsun" w:hAnsi="simsun"/>
          <w:color w:val="323E32"/>
          <w:sz w:val="21"/>
          <w:szCs w:val="21"/>
        </w:rPr>
        <w:t>7.</w:t>
      </w:r>
      <w:r>
        <w:rPr>
          <w:rFonts w:ascii="simsun" w:hAnsi="simsun"/>
          <w:color w:val="323E32"/>
          <w:sz w:val="21"/>
          <w:szCs w:val="21"/>
        </w:rPr>
        <w:t>对组委会使用的营业账簿和签订的各类合同等应税凭证，免征组委会应缴纳的印花税。</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w:t>
      </w:r>
      <w:r>
        <w:rPr>
          <w:rFonts w:ascii="simsun" w:hAnsi="simsun"/>
          <w:color w:val="323E32"/>
          <w:sz w:val="21"/>
          <w:szCs w:val="21"/>
        </w:rPr>
        <w:t>8.</w:t>
      </w:r>
      <w:r>
        <w:rPr>
          <w:rFonts w:ascii="simsun" w:hAnsi="simsun"/>
          <w:color w:val="323E32"/>
          <w:sz w:val="21"/>
          <w:szCs w:val="21"/>
        </w:rPr>
        <w:t>对组委会的车船，由江苏省、天津市人民政府根据车船税法实施条例第十条第二款的规定，确定相应车船税的具体减免期限和数额，并报国务院备案。</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lastRenderedPageBreak/>
        <w:t xml:space="preserve">　　二、</w:t>
      </w:r>
      <w:proofErr w:type="gramStart"/>
      <w:r>
        <w:rPr>
          <w:rFonts w:ascii="simsun" w:hAnsi="simsun"/>
          <w:color w:val="323E32"/>
          <w:sz w:val="21"/>
          <w:szCs w:val="21"/>
        </w:rPr>
        <w:t>关于青奥会</w:t>
      </w:r>
      <w:proofErr w:type="gramEnd"/>
      <w:r>
        <w:rPr>
          <w:rFonts w:ascii="simsun" w:hAnsi="simsun"/>
          <w:color w:val="323E32"/>
          <w:sz w:val="21"/>
          <w:szCs w:val="21"/>
        </w:rPr>
        <w:t>、亚青会和东亚会参与者的税收政策</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w:t>
      </w:r>
      <w:r>
        <w:rPr>
          <w:rFonts w:ascii="simsun" w:hAnsi="simsun"/>
          <w:color w:val="323E32"/>
          <w:sz w:val="21"/>
          <w:szCs w:val="21"/>
        </w:rPr>
        <w:t>1.</w:t>
      </w:r>
      <w:r>
        <w:rPr>
          <w:rFonts w:ascii="simsun" w:hAnsi="simsun"/>
          <w:color w:val="323E32"/>
          <w:sz w:val="21"/>
          <w:szCs w:val="21"/>
        </w:rPr>
        <w:t>对参赛运动员</w:t>
      </w:r>
      <w:proofErr w:type="gramStart"/>
      <w:r>
        <w:rPr>
          <w:rFonts w:ascii="simsun" w:hAnsi="simsun"/>
          <w:color w:val="323E32"/>
          <w:sz w:val="21"/>
          <w:szCs w:val="21"/>
        </w:rPr>
        <w:t>因青奥会</w:t>
      </w:r>
      <w:proofErr w:type="gramEnd"/>
      <w:r>
        <w:rPr>
          <w:rFonts w:ascii="simsun" w:hAnsi="simsun"/>
          <w:color w:val="323E32"/>
          <w:sz w:val="21"/>
          <w:szCs w:val="21"/>
        </w:rPr>
        <w:t>、亚青会和东亚会比赛获得的奖金和其他奖赏收入，按现行税收法律法规的有关规定</w:t>
      </w:r>
      <w:proofErr w:type="gramStart"/>
      <w:r>
        <w:rPr>
          <w:rFonts w:ascii="simsun" w:hAnsi="simsun"/>
          <w:color w:val="323E32"/>
          <w:sz w:val="21"/>
          <w:szCs w:val="21"/>
        </w:rPr>
        <w:t>征免应缴纳</w:t>
      </w:r>
      <w:proofErr w:type="gramEnd"/>
      <w:r>
        <w:rPr>
          <w:rFonts w:ascii="simsun" w:hAnsi="simsun"/>
          <w:color w:val="323E32"/>
          <w:sz w:val="21"/>
          <w:szCs w:val="21"/>
        </w:rPr>
        <w:t>的个人所得税。</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w:t>
      </w:r>
      <w:r>
        <w:rPr>
          <w:rFonts w:ascii="simsun" w:hAnsi="simsun"/>
          <w:color w:val="323E32"/>
          <w:sz w:val="21"/>
          <w:szCs w:val="21"/>
        </w:rPr>
        <w:t>2.</w:t>
      </w:r>
      <w:r>
        <w:rPr>
          <w:rFonts w:ascii="simsun" w:hAnsi="simsun"/>
          <w:color w:val="323E32"/>
          <w:sz w:val="21"/>
          <w:szCs w:val="21"/>
        </w:rPr>
        <w:t>对企事业单位、社会团体和其他组织以及个人通过公益性社会团体或者县级以上人民政府及其部门</w:t>
      </w:r>
      <w:proofErr w:type="gramStart"/>
      <w:r>
        <w:rPr>
          <w:rFonts w:ascii="simsun" w:hAnsi="simsun"/>
          <w:color w:val="323E32"/>
          <w:sz w:val="21"/>
          <w:szCs w:val="21"/>
        </w:rPr>
        <w:t>捐赠青奥会</w:t>
      </w:r>
      <w:proofErr w:type="gramEnd"/>
      <w:r>
        <w:rPr>
          <w:rFonts w:ascii="simsun" w:hAnsi="simsun"/>
          <w:color w:val="323E32"/>
          <w:sz w:val="21"/>
          <w:szCs w:val="21"/>
        </w:rPr>
        <w:t>、亚青会和东亚会的资金、物资支出，在计算企业和个人应纳税所得额时按现行税收法律法规的有关规定予以税前扣除。</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w:t>
      </w:r>
      <w:r>
        <w:rPr>
          <w:rFonts w:ascii="simsun" w:hAnsi="simsun"/>
          <w:color w:val="323E32"/>
          <w:sz w:val="21"/>
          <w:szCs w:val="21"/>
        </w:rPr>
        <w:t>3.</w:t>
      </w:r>
      <w:r>
        <w:rPr>
          <w:rFonts w:ascii="simsun" w:hAnsi="simsun"/>
          <w:color w:val="323E32"/>
          <w:sz w:val="21"/>
          <w:szCs w:val="21"/>
        </w:rPr>
        <w:t>对财产所有人将财产（物品）捐赠给组委会所书立的产权转移书据，免征应缴纳的印花税。</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三、</w:t>
      </w:r>
      <w:proofErr w:type="gramStart"/>
      <w:r>
        <w:rPr>
          <w:rFonts w:ascii="simsun" w:hAnsi="simsun"/>
          <w:color w:val="323E32"/>
          <w:sz w:val="21"/>
          <w:szCs w:val="21"/>
        </w:rPr>
        <w:t>关于青奥会</w:t>
      </w:r>
      <w:proofErr w:type="gramEnd"/>
      <w:r>
        <w:rPr>
          <w:rFonts w:ascii="simsun" w:hAnsi="simsun"/>
          <w:color w:val="323E32"/>
          <w:sz w:val="21"/>
          <w:szCs w:val="21"/>
        </w:rPr>
        <w:t>、亚青会和东亚会（以下统称运动会）的进口税收政策</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w:t>
      </w:r>
      <w:r>
        <w:rPr>
          <w:rFonts w:ascii="simsun" w:hAnsi="simsun"/>
          <w:color w:val="323E32"/>
          <w:sz w:val="21"/>
          <w:szCs w:val="21"/>
        </w:rPr>
        <w:t>1.</w:t>
      </w:r>
      <w:r>
        <w:rPr>
          <w:rFonts w:ascii="simsun" w:hAnsi="simsun"/>
          <w:color w:val="323E32"/>
          <w:sz w:val="21"/>
          <w:szCs w:val="21"/>
        </w:rPr>
        <w:t>对组委会为举办运动会进口的国际奥委会、亚奥理事会、东亚运动会联合会理事会或国际单项体育组织指定的，国内不能生产或性能不能满足需要的直接用于运动会比赛的消耗品，免征关税、进口环节增值税和消费税。</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享受免税政策的进口比赛用消耗品的范围、数量清单，由组委会汇总后报财政部商有关部门审核确定。</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w:t>
      </w:r>
      <w:r>
        <w:rPr>
          <w:rFonts w:ascii="simsun" w:hAnsi="simsun"/>
          <w:color w:val="323E32"/>
          <w:sz w:val="21"/>
          <w:szCs w:val="21"/>
        </w:rPr>
        <w:t>2.</w:t>
      </w:r>
      <w:r>
        <w:rPr>
          <w:rFonts w:ascii="simsun" w:hAnsi="simsun"/>
          <w:color w:val="323E32"/>
          <w:sz w:val="21"/>
          <w:szCs w:val="21"/>
        </w:rPr>
        <w:t>对组委会进口的其他特需物资，包括：国际奥委会、亚奥理事会、东亚运动会联合会理事会或国际单项体育组织指定的、我国国内不能生产或性能不能满足需要的体育竞赛器材、医疗检测设备、安全保障设备、交通通讯设备、技术设备，在运动会期间按暂准进口货物规定办理，运动会结束后复运出境的予以核销；留在境内或做变卖处理的，按有关规定办理正式进口手续，并照章缴纳关税、进口环节增值税和消费税。</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四、关于税收政策的执行时间</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w:t>
      </w:r>
      <w:proofErr w:type="gramStart"/>
      <w:r>
        <w:rPr>
          <w:rFonts w:ascii="simsun" w:hAnsi="simsun"/>
          <w:color w:val="323E32"/>
          <w:sz w:val="21"/>
          <w:szCs w:val="21"/>
        </w:rPr>
        <w:t>青奥会税收</w:t>
      </w:r>
      <w:proofErr w:type="gramEnd"/>
      <w:r>
        <w:rPr>
          <w:rFonts w:ascii="simsun" w:hAnsi="simsun"/>
          <w:color w:val="323E32"/>
          <w:sz w:val="21"/>
          <w:szCs w:val="21"/>
        </w:rPr>
        <w:t>政策自</w:t>
      </w:r>
      <w:r>
        <w:rPr>
          <w:rFonts w:ascii="simsun" w:hAnsi="simsun"/>
          <w:color w:val="323E32"/>
          <w:sz w:val="21"/>
          <w:szCs w:val="21"/>
        </w:rPr>
        <w:t>2011</w:t>
      </w:r>
      <w:r>
        <w:rPr>
          <w:rFonts w:ascii="simsun" w:hAnsi="simsun"/>
          <w:color w:val="323E32"/>
          <w:sz w:val="21"/>
          <w:szCs w:val="21"/>
        </w:rPr>
        <w:t>年</w:t>
      </w:r>
      <w:r>
        <w:rPr>
          <w:rFonts w:ascii="simsun" w:hAnsi="simsun"/>
          <w:color w:val="323E32"/>
          <w:sz w:val="21"/>
          <w:szCs w:val="21"/>
        </w:rPr>
        <w:t>1</w:t>
      </w:r>
      <w:r>
        <w:rPr>
          <w:rFonts w:ascii="simsun" w:hAnsi="simsun"/>
          <w:color w:val="323E32"/>
          <w:sz w:val="21"/>
          <w:szCs w:val="21"/>
        </w:rPr>
        <w:t>月</w:t>
      </w:r>
      <w:r>
        <w:rPr>
          <w:rFonts w:ascii="simsun" w:hAnsi="simsun"/>
          <w:color w:val="323E32"/>
          <w:sz w:val="21"/>
          <w:szCs w:val="21"/>
        </w:rPr>
        <w:t>1</w:t>
      </w:r>
      <w:r>
        <w:rPr>
          <w:rFonts w:ascii="simsun" w:hAnsi="simsun"/>
          <w:color w:val="323E32"/>
          <w:sz w:val="21"/>
          <w:szCs w:val="21"/>
        </w:rPr>
        <w:t>日起执行，亚青会、东亚</w:t>
      </w:r>
      <w:proofErr w:type="gramStart"/>
      <w:r>
        <w:rPr>
          <w:rFonts w:ascii="simsun" w:hAnsi="simsun"/>
          <w:color w:val="323E32"/>
          <w:sz w:val="21"/>
          <w:szCs w:val="21"/>
        </w:rPr>
        <w:t>会税收</w:t>
      </w:r>
      <w:proofErr w:type="gramEnd"/>
      <w:r>
        <w:rPr>
          <w:rFonts w:ascii="simsun" w:hAnsi="simsun"/>
          <w:color w:val="323E32"/>
          <w:sz w:val="21"/>
          <w:szCs w:val="21"/>
        </w:rPr>
        <w:t>政策自</w:t>
      </w:r>
      <w:r>
        <w:rPr>
          <w:rFonts w:ascii="simsun" w:hAnsi="simsun"/>
          <w:color w:val="323E32"/>
          <w:sz w:val="21"/>
          <w:szCs w:val="21"/>
        </w:rPr>
        <w:t>2012</w:t>
      </w:r>
      <w:r>
        <w:rPr>
          <w:rFonts w:ascii="simsun" w:hAnsi="simsun"/>
          <w:color w:val="323E32"/>
          <w:sz w:val="21"/>
          <w:szCs w:val="21"/>
        </w:rPr>
        <w:t>年</w:t>
      </w:r>
      <w:r>
        <w:rPr>
          <w:rFonts w:ascii="simsun" w:hAnsi="simsun"/>
          <w:color w:val="323E32"/>
          <w:sz w:val="21"/>
          <w:szCs w:val="21"/>
        </w:rPr>
        <w:t>1</w:t>
      </w:r>
      <w:r>
        <w:rPr>
          <w:rFonts w:ascii="simsun" w:hAnsi="simsun"/>
          <w:color w:val="323E32"/>
          <w:sz w:val="21"/>
          <w:szCs w:val="21"/>
        </w:rPr>
        <w:t>月</w:t>
      </w:r>
      <w:r>
        <w:rPr>
          <w:rFonts w:ascii="simsun" w:hAnsi="simsun"/>
          <w:color w:val="323E32"/>
          <w:sz w:val="21"/>
          <w:szCs w:val="21"/>
        </w:rPr>
        <w:t>1</w:t>
      </w:r>
      <w:r>
        <w:rPr>
          <w:rFonts w:ascii="simsun" w:hAnsi="simsun"/>
          <w:color w:val="323E32"/>
          <w:sz w:val="21"/>
          <w:szCs w:val="21"/>
        </w:rPr>
        <w:t>日起执行。</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各地财政、税务及海关等管理部门要密切关注税收政策的执行情况，对发现的问题及时逐级向财政部、国家税务总局和海关总署反映。</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lastRenderedPageBreak/>
        <w:t xml:space="preserve">　　</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w:t>
      </w:r>
      <w:r>
        <w:rPr>
          <w:rFonts w:ascii="simsun" w:hAnsi="simsun"/>
          <w:color w:val="323E32"/>
          <w:sz w:val="21"/>
          <w:szCs w:val="21"/>
        </w:rPr>
        <w:t xml:space="preserve">                                       </w:t>
      </w:r>
      <w:r>
        <w:rPr>
          <w:rFonts w:ascii="simsun" w:hAnsi="simsun"/>
          <w:color w:val="323E32"/>
          <w:sz w:val="21"/>
          <w:szCs w:val="21"/>
        </w:rPr>
        <w:t>财政部</w:t>
      </w:r>
      <w:r>
        <w:rPr>
          <w:rFonts w:ascii="simsun" w:hAnsi="simsun"/>
          <w:color w:val="323E32"/>
          <w:sz w:val="21"/>
          <w:szCs w:val="21"/>
        </w:rPr>
        <w:t xml:space="preserve"> </w:t>
      </w:r>
      <w:r>
        <w:rPr>
          <w:rFonts w:ascii="simsun" w:hAnsi="simsun"/>
          <w:color w:val="323E32"/>
          <w:sz w:val="21"/>
          <w:szCs w:val="21"/>
        </w:rPr>
        <w:t>海关总署</w:t>
      </w:r>
      <w:r>
        <w:rPr>
          <w:rFonts w:ascii="simsun" w:hAnsi="simsun"/>
          <w:color w:val="323E32"/>
          <w:sz w:val="21"/>
          <w:szCs w:val="21"/>
        </w:rPr>
        <w:t xml:space="preserve"> </w:t>
      </w:r>
      <w:r>
        <w:rPr>
          <w:rFonts w:ascii="simsun" w:hAnsi="simsun"/>
          <w:color w:val="323E32"/>
          <w:sz w:val="21"/>
          <w:szCs w:val="21"/>
        </w:rPr>
        <w:t>国家税务总局</w:t>
      </w:r>
    </w:p>
    <w:p w:rsidR="00E21F4D" w:rsidRDefault="00E21F4D" w:rsidP="00E21F4D">
      <w:pPr>
        <w:pStyle w:val="a3"/>
        <w:spacing w:line="360" w:lineRule="auto"/>
        <w:rPr>
          <w:rFonts w:ascii="simsun" w:hAnsi="simsun"/>
          <w:color w:val="323E32"/>
          <w:sz w:val="21"/>
          <w:szCs w:val="21"/>
        </w:rPr>
      </w:pPr>
      <w:r>
        <w:rPr>
          <w:rFonts w:ascii="simsun" w:hAnsi="simsun"/>
          <w:color w:val="323E32"/>
          <w:sz w:val="21"/>
          <w:szCs w:val="21"/>
        </w:rPr>
        <w:t xml:space="preserve">　　</w:t>
      </w:r>
      <w:r>
        <w:rPr>
          <w:rFonts w:ascii="simsun" w:hAnsi="simsun"/>
          <w:color w:val="323E32"/>
          <w:sz w:val="21"/>
          <w:szCs w:val="21"/>
        </w:rPr>
        <w:t>                                                2013</w:t>
      </w:r>
      <w:r>
        <w:rPr>
          <w:rFonts w:ascii="simsun" w:hAnsi="simsun"/>
          <w:color w:val="323E32"/>
          <w:sz w:val="21"/>
          <w:szCs w:val="21"/>
        </w:rPr>
        <w:t>年</w:t>
      </w:r>
      <w:r>
        <w:rPr>
          <w:rFonts w:ascii="simsun" w:hAnsi="simsun"/>
          <w:color w:val="323E32"/>
          <w:sz w:val="21"/>
          <w:szCs w:val="21"/>
        </w:rPr>
        <w:t>1</w:t>
      </w:r>
      <w:r>
        <w:rPr>
          <w:rFonts w:ascii="simsun" w:hAnsi="simsun"/>
          <w:color w:val="323E32"/>
          <w:sz w:val="21"/>
          <w:szCs w:val="21"/>
        </w:rPr>
        <w:t>月</w:t>
      </w:r>
      <w:r>
        <w:rPr>
          <w:rFonts w:ascii="simsun" w:hAnsi="simsun"/>
          <w:color w:val="323E32"/>
          <w:sz w:val="21"/>
          <w:szCs w:val="21"/>
        </w:rPr>
        <w:t>22</w:t>
      </w:r>
      <w:r>
        <w:rPr>
          <w:rFonts w:ascii="simsun" w:hAnsi="simsun"/>
          <w:color w:val="323E32"/>
          <w:sz w:val="21"/>
          <w:szCs w:val="21"/>
        </w:rPr>
        <w:t>日</w:t>
      </w:r>
    </w:p>
    <w:p w:rsidR="009E3AB8" w:rsidRDefault="009E3AB8">
      <w:pPr>
        <w:rPr>
          <w:rFonts w:hint="eastAsia"/>
        </w:rPr>
      </w:pPr>
    </w:p>
    <w:sectPr w:rsidR="009E3A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2C"/>
    <w:rsid w:val="009E3AB8"/>
    <w:rsid w:val="00D5532C"/>
    <w:rsid w:val="00E21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1F4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1F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589334">
      <w:bodyDiv w:val="1"/>
      <w:marLeft w:val="0"/>
      <w:marRight w:val="0"/>
      <w:marTop w:val="0"/>
      <w:marBottom w:val="0"/>
      <w:divBdr>
        <w:top w:val="none" w:sz="0" w:space="0" w:color="auto"/>
        <w:left w:val="none" w:sz="0" w:space="0" w:color="auto"/>
        <w:bottom w:val="none" w:sz="0" w:space="0" w:color="auto"/>
        <w:right w:val="none" w:sz="0" w:space="0" w:color="auto"/>
      </w:divBdr>
      <w:divsChild>
        <w:div w:id="63529165">
          <w:marLeft w:val="0"/>
          <w:marRight w:val="0"/>
          <w:marTop w:val="0"/>
          <w:marBottom w:val="0"/>
          <w:divBdr>
            <w:top w:val="none" w:sz="0" w:space="0" w:color="auto"/>
            <w:left w:val="none" w:sz="0" w:space="0" w:color="auto"/>
            <w:bottom w:val="none" w:sz="0" w:space="0" w:color="auto"/>
            <w:right w:val="none" w:sz="0" w:space="0" w:color="auto"/>
          </w:divBdr>
          <w:divsChild>
            <w:div w:id="2086487986">
              <w:marLeft w:val="0"/>
              <w:marRight w:val="0"/>
              <w:marTop w:val="0"/>
              <w:marBottom w:val="0"/>
              <w:divBdr>
                <w:top w:val="none" w:sz="0" w:space="0" w:color="auto"/>
                <w:left w:val="none" w:sz="0" w:space="0" w:color="auto"/>
                <w:bottom w:val="none" w:sz="0" w:space="0" w:color="auto"/>
                <w:right w:val="none" w:sz="0" w:space="0" w:color="auto"/>
              </w:divBdr>
              <w:divsChild>
                <w:div w:id="2073038031">
                  <w:marLeft w:val="0"/>
                  <w:marRight w:val="0"/>
                  <w:marTop w:val="0"/>
                  <w:marBottom w:val="0"/>
                  <w:divBdr>
                    <w:top w:val="none" w:sz="0" w:space="0" w:color="auto"/>
                    <w:left w:val="none" w:sz="0" w:space="0" w:color="auto"/>
                    <w:bottom w:val="none" w:sz="0" w:space="0" w:color="auto"/>
                    <w:right w:val="none" w:sz="0" w:space="0" w:color="auto"/>
                  </w:divBdr>
                  <w:divsChild>
                    <w:div w:id="538471722">
                      <w:marLeft w:val="150"/>
                      <w:marRight w:val="0"/>
                      <w:marTop w:val="0"/>
                      <w:marBottom w:val="0"/>
                      <w:divBdr>
                        <w:top w:val="none" w:sz="0" w:space="0" w:color="auto"/>
                        <w:left w:val="none" w:sz="0" w:space="0" w:color="auto"/>
                        <w:bottom w:val="none" w:sz="0" w:space="0" w:color="auto"/>
                        <w:right w:val="none" w:sz="0" w:space="0" w:color="auto"/>
                      </w:divBdr>
                      <w:divsChild>
                        <w:div w:id="795954576">
                          <w:marLeft w:val="0"/>
                          <w:marRight w:val="0"/>
                          <w:marTop w:val="0"/>
                          <w:marBottom w:val="150"/>
                          <w:divBdr>
                            <w:top w:val="none" w:sz="0" w:space="0" w:color="auto"/>
                            <w:left w:val="none" w:sz="0" w:space="0" w:color="auto"/>
                            <w:bottom w:val="none" w:sz="0" w:space="0" w:color="auto"/>
                            <w:right w:val="none" w:sz="0" w:space="0" w:color="auto"/>
                          </w:divBdr>
                          <w:divsChild>
                            <w:div w:id="1973098902">
                              <w:marLeft w:val="0"/>
                              <w:marRight w:val="0"/>
                              <w:marTop w:val="0"/>
                              <w:marBottom w:val="0"/>
                              <w:divBdr>
                                <w:top w:val="none" w:sz="0" w:space="0" w:color="auto"/>
                                <w:left w:val="none" w:sz="0" w:space="0" w:color="auto"/>
                                <w:bottom w:val="none" w:sz="0" w:space="0" w:color="auto"/>
                                <w:right w:val="none" w:sz="0" w:space="0" w:color="auto"/>
                              </w:divBdr>
                              <w:divsChild>
                                <w:div w:id="1017150292">
                                  <w:marLeft w:val="0"/>
                                  <w:marRight w:val="0"/>
                                  <w:marTop w:val="0"/>
                                  <w:marBottom w:val="0"/>
                                  <w:divBdr>
                                    <w:top w:val="none" w:sz="0" w:space="0" w:color="auto"/>
                                    <w:left w:val="none" w:sz="0" w:space="0" w:color="auto"/>
                                    <w:bottom w:val="none" w:sz="0" w:space="0" w:color="auto"/>
                                    <w:right w:val="none" w:sz="0" w:space="0" w:color="auto"/>
                                  </w:divBdr>
                                  <w:divsChild>
                                    <w:div w:id="212811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1337</Characters>
  <Application>Microsoft Office Word</Application>
  <DocSecurity>0</DocSecurity>
  <Lines>11</Lines>
  <Paragraphs>3</Paragraphs>
  <ScaleCrop>false</ScaleCrop>
  <Company>微软中国</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2013-08-13T08:05:00Z</dcterms:created>
  <dcterms:modified xsi:type="dcterms:W3CDTF">2013-08-13T08:05:00Z</dcterms:modified>
</cp:coreProperties>
</file>