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2E" w:rsidRDefault="00AE262E" w:rsidP="00AE262E">
      <w:pPr>
        <w:jc w:val="center"/>
        <w:rPr>
          <w:rFonts w:ascii="黑体" w:eastAsia="黑体" w:hAnsi="Tahoma" w:cs="Tahoma" w:hint="eastAsia"/>
          <w:color w:val="000000"/>
          <w:sz w:val="30"/>
          <w:szCs w:val="30"/>
        </w:rPr>
      </w:pPr>
      <w:r>
        <w:rPr>
          <w:rFonts w:ascii="黑体" w:eastAsia="黑体" w:hAnsi="Tahoma" w:cs="Tahoma" w:hint="eastAsia"/>
          <w:color w:val="000000"/>
          <w:sz w:val="30"/>
          <w:szCs w:val="30"/>
        </w:rPr>
        <w:t>财政部 国家税务总局关于中国信达资产管理股份</w:t>
      </w:r>
    </w:p>
    <w:p w:rsidR="002D2EB3" w:rsidRDefault="00AE262E" w:rsidP="00AE262E">
      <w:pPr>
        <w:jc w:val="center"/>
        <w:rPr>
          <w:rFonts w:ascii="黑体" w:eastAsia="黑体" w:hAnsi="Tahoma" w:cs="Tahoma" w:hint="eastAsia"/>
          <w:color w:val="000000"/>
          <w:sz w:val="30"/>
          <w:szCs w:val="30"/>
        </w:rPr>
      </w:pPr>
      <w:r>
        <w:rPr>
          <w:rFonts w:ascii="黑体" w:eastAsia="黑体" w:hAnsi="Tahoma" w:cs="Tahoma" w:hint="eastAsia"/>
          <w:color w:val="000000"/>
          <w:sz w:val="30"/>
          <w:szCs w:val="30"/>
        </w:rPr>
        <w:t>有限公司等4家金融资产管理公司有关税收政策问题的通知</w:t>
      </w:r>
    </w:p>
    <w:p w:rsidR="00AE262E" w:rsidRDefault="00AE262E" w:rsidP="00AE262E">
      <w:pPr>
        <w:jc w:val="center"/>
        <w:rPr>
          <w:rFonts w:ascii="仿宋_GB2312" w:eastAsia="仿宋_GB2312" w:hAnsi="Tahoma" w:cs="Tahoma" w:hint="eastAsia"/>
          <w:color w:val="000000"/>
          <w:sz w:val="28"/>
          <w:szCs w:val="28"/>
        </w:rPr>
      </w:pPr>
      <w:r w:rsidRPr="00AE262E">
        <w:rPr>
          <w:rFonts w:ascii="仿宋_GB2312" w:eastAsia="仿宋_GB2312" w:hAnsi="Tahoma" w:cs="Tahoma" w:hint="eastAsia"/>
          <w:color w:val="000000"/>
          <w:sz w:val="28"/>
          <w:szCs w:val="28"/>
        </w:rPr>
        <w:t>财税[2013]56号</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r w:rsidRPr="00AE262E">
        <w:rPr>
          <w:rFonts w:ascii="仿宋_GB2312" w:eastAsia="仿宋_GB2312" w:hAnsi="宋体" w:cs="宋体" w:hint="eastAsia"/>
          <w:color w:val="000000"/>
          <w:kern w:val="0"/>
          <w:sz w:val="32"/>
          <w:szCs w:val="32"/>
        </w:rPr>
        <w:t>各省、自治区、直辖市、计划单列市财政厅（局）、国家税务局、地方税务局、新疆生产建设兵团财务局：</w:t>
      </w:r>
    </w:p>
    <w:p w:rsidR="00AE262E" w:rsidRPr="00AE262E" w:rsidRDefault="00AE262E" w:rsidP="00AE262E">
      <w:pPr>
        <w:widowControl/>
        <w:wordWrap w:val="0"/>
        <w:spacing w:before="100" w:beforeAutospacing="1" w:after="100" w:afterAutospacing="1"/>
        <w:ind w:firstLine="640"/>
        <w:jc w:val="left"/>
        <w:rPr>
          <w:rFonts w:ascii="宋体" w:eastAsia="宋体" w:hAnsi="宋体" w:cs="宋体"/>
          <w:color w:val="000000"/>
          <w:kern w:val="0"/>
          <w:sz w:val="24"/>
          <w:szCs w:val="24"/>
        </w:rPr>
      </w:pPr>
      <w:r w:rsidRPr="00AE262E">
        <w:rPr>
          <w:rFonts w:ascii="仿宋_GB2312" w:eastAsia="仿宋_GB2312" w:hAnsi="宋体" w:cs="宋体" w:hint="eastAsia"/>
          <w:color w:val="000000"/>
          <w:kern w:val="0"/>
          <w:sz w:val="32"/>
          <w:szCs w:val="32"/>
        </w:rPr>
        <w:t>经国务院批准，现对中国信达资产管</w:t>
      </w:r>
      <w:bookmarkStart w:id="0" w:name="_GoBack"/>
      <w:bookmarkEnd w:id="0"/>
      <w:r w:rsidRPr="00AE262E">
        <w:rPr>
          <w:rFonts w:ascii="仿宋_GB2312" w:eastAsia="仿宋_GB2312" w:hAnsi="宋体" w:cs="宋体" w:hint="eastAsia"/>
          <w:color w:val="000000"/>
          <w:kern w:val="0"/>
          <w:sz w:val="32"/>
          <w:szCs w:val="32"/>
        </w:rPr>
        <w:t>理股份有限公司（原中国信达资产管理公司）、中国华融资</w:t>
      </w:r>
      <w:proofErr w:type="gramStart"/>
      <w:r w:rsidRPr="00AE262E">
        <w:rPr>
          <w:rFonts w:ascii="仿宋_GB2312" w:eastAsia="仿宋_GB2312" w:hAnsi="宋体" w:cs="宋体" w:hint="eastAsia"/>
          <w:color w:val="000000"/>
          <w:kern w:val="0"/>
          <w:sz w:val="32"/>
          <w:szCs w:val="32"/>
        </w:rPr>
        <w:t>产管理</w:t>
      </w:r>
      <w:proofErr w:type="gramEnd"/>
      <w:r w:rsidRPr="00AE262E">
        <w:rPr>
          <w:rFonts w:ascii="仿宋_GB2312" w:eastAsia="仿宋_GB2312" w:hAnsi="宋体" w:cs="宋体" w:hint="eastAsia"/>
          <w:color w:val="000000"/>
          <w:kern w:val="0"/>
          <w:sz w:val="32"/>
          <w:szCs w:val="32"/>
        </w:rPr>
        <w:t>股份有限公司（原中国华融资</w:t>
      </w:r>
      <w:proofErr w:type="gramStart"/>
      <w:r w:rsidRPr="00AE262E">
        <w:rPr>
          <w:rFonts w:ascii="仿宋_GB2312" w:eastAsia="仿宋_GB2312" w:hAnsi="宋体" w:cs="宋体" w:hint="eastAsia"/>
          <w:color w:val="000000"/>
          <w:kern w:val="0"/>
          <w:sz w:val="32"/>
          <w:szCs w:val="32"/>
        </w:rPr>
        <w:t>产管理</w:t>
      </w:r>
      <w:proofErr w:type="gramEnd"/>
      <w:r w:rsidRPr="00AE262E">
        <w:rPr>
          <w:rFonts w:ascii="仿宋_GB2312" w:eastAsia="仿宋_GB2312" w:hAnsi="宋体" w:cs="宋体" w:hint="eastAsia"/>
          <w:color w:val="000000"/>
          <w:kern w:val="0"/>
          <w:sz w:val="32"/>
          <w:szCs w:val="32"/>
        </w:rPr>
        <w:t>公司）、中国长城资产管理公司和中国东方资产管理公司（以下统称资产公司）在收购、承接和处置政策性剥离不良资产和改制银行剥离不良资产过程中有关税收政策问题通知如下：</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r w:rsidRPr="00AE262E">
        <w:rPr>
          <w:rFonts w:ascii="Times New Roman" w:eastAsia="宋体" w:hAnsi="Times New Roman" w:cs="Times New Roman"/>
          <w:color w:val="000000"/>
          <w:kern w:val="0"/>
          <w:sz w:val="32"/>
          <w:szCs w:val="32"/>
        </w:rPr>
        <w:t>        </w:t>
      </w:r>
      <w:r w:rsidRPr="00AE262E">
        <w:rPr>
          <w:rFonts w:ascii="仿宋_GB2312" w:eastAsia="仿宋_GB2312" w:hAnsi="宋体" w:cs="宋体" w:hint="eastAsia"/>
          <w:color w:val="000000"/>
          <w:kern w:val="0"/>
          <w:sz w:val="32"/>
          <w:szCs w:val="32"/>
        </w:rPr>
        <w:t>一、中国信达资产管理股份有限公司、中国华融资</w:t>
      </w:r>
      <w:proofErr w:type="gramStart"/>
      <w:r w:rsidRPr="00AE262E">
        <w:rPr>
          <w:rFonts w:ascii="仿宋_GB2312" w:eastAsia="仿宋_GB2312" w:hAnsi="宋体" w:cs="宋体" w:hint="eastAsia"/>
          <w:color w:val="000000"/>
          <w:kern w:val="0"/>
          <w:sz w:val="32"/>
          <w:szCs w:val="32"/>
        </w:rPr>
        <w:t>产管理</w:t>
      </w:r>
      <w:proofErr w:type="gramEnd"/>
      <w:r w:rsidRPr="00AE262E">
        <w:rPr>
          <w:rFonts w:ascii="仿宋_GB2312" w:eastAsia="仿宋_GB2312" w:hAnsi="宋体" w:cs="宋体" w:hint="eastAsia"/>
          <w:color w:val="000000"/>
          <w:kern w:val="0"/>
          <w:sz w:val="32"/>
          <w:szCs w:val="32"/>
        </w:rPr>
        <w:t>股份有限公司及其分支机构处置剩余政策性剥离不良资产比照执行《财政部国家税务总局关于中国信达等</w:t>
      </w:r>
      <w:r w:rsidRPr="00AE262E">
        <w:rPr>
          <w:rFonts w:ascii="Times New Roman" w:eastAsia="宋体" w:hAnsi="Times New Roman" w:cs="Times New Roman"/>
          <w:color w:val="000000"/>
          <w:kern w:val="0"/>
          <w:sz w:val="32"/>
          <w:szCs w:val="32"/>
        </w:rPr>
        <w:t>4</w:t>
      </w:r>
      <w:r w:rsidRPr="00AE262E">
        <w:rPr>
          <w:rFonts w:ascii="仿宋_GB2312" w:eastAsia="仿宋_GB2312" w:hAnsi="宋体" w:cs="宋体" w:hint="eastAsia"/>
          <w:color w:val="000000"/>
          <w:kern w:val="0"/>
          <w:sz w:val="32"/>
          <w:szCs w:val="32"/>
        </w:rPr>
        <w:t>家金融资产管理公司税收政策问题的通知》（财税</w:t>
      </w:r>
      <w:r w:rsidRPr="00AE262E">
        <w:rPr>
          <w:rFonts w:ascii="Times New Roman" w:eastAsia="宋体" w:hAnsi="Times New Roman" w:cs="Times New Roman"/>
          <w:color w:val="000000"/>
          <w:kern w:val="0"/>
          <w:sz w:val="32"/>
          <w:szCs w:val="32"/>
        </w:rPr>
        <w:t>[2001]10</w:t>
      </w:r>
      <w:r w:rsidRPr="00AE262E">
        <w:rPr>
          <w:rFonts w:ascii="仿宋_GB2312" w:eastAsia="仿宋_GB2312" w:hAnsi="宋体" w:cs="宋体" w:hint="eastAsia"/>
          <w:color w:val="000000"/>
          <w:kern w:val="0"/>
          <w:sz w:val="32"/>
          <w:szCs w:val="32"/>
        </w:rPr>
        <w:t>号）、《财政部国家税务总局关于</w:t>
      </w:r>
      <w:r w:rsidRPr="00AE262E">
        <w:rPr>
          <w:rFonts w:ascii="Times New Roman" w:eastAsia="宋体" w:hAnsi="Times New Roman" w:cs="Times New Roman"/>
          <w:color w:val="000000"/>
          <w:kern w:val="0"/>
          <w:sz w:val="32"/>
          <w:szCs w:val="32"/>
        </w:rPr>
        <w:t>4</w:t>
      </w:r>
      <w:r w:rsidRPr="00AE262E">
        <w:rPr>
          <w:rFonts w:ascii="仿宋_GB2312" w:eastAsia="仿宋_GB2312" w:hAnsi="宋体" w:cs="宋体" w:hint="eastAsia"/>
          <w:color w:val="000000"/>
          <w:kern w:val="0"/>
          <w:sz w:val="32"/>
          <w:szCs w:val="32"/>
        </w:rPr>
        <w:t>家资产管理公司接收资本金项下的资产在办理过户时有关税收政策问题的通知》（财税</w:t>
      </w:r>
      <w:r w:rsidRPr="00AE262E">
        <w:rPr>
          <w:rFonts w:ascii="Times New Roman" w:eastAsia="宋体" w:hAnsi="Times New Roman" w:cs="Times New Roman"/>
          <w:color w:val="000000"/>
          <w:kern w:val="0"/>
          <w:sz w:val="32"/>
          <w:szCs w:val="32"/>
        </w:rPr>
        <w:t>[2003]21</w:t>
      </w:r>
      <w:r w:rsidRPr="00AE262E">
        <w:rPr>
          <w:rFonts w:ascii="仿宋_GB2312" w:eastAsia="仿宋_GB2312" w:hAnsi="宋体" w:cs="宋体" w:hint="eastAsia"/>
          <w:color w:val="000000"/>
          <w:kern w:val="0"/>
          <w:sz w:val="32"/>
          <w:szCs w:val="32"/>
        </w:rPr>
        <w:t>号）、《国家税务总局关于中国信达等四家金融资产管理公司受让或出让上市公司股权免征证券（股票）交易印花税有关问题的通知》（国税发</w:t>
      </w:r>
      <w:r w:rsidRPr="00AE262E">
        <w:rPr>
          <w:rFonts w:ascii="Times New Roman" w:eastAsia="宋体" w:hAnsi="Times New Roman" w:cs="Times New Roman"/>
          <w:color w:val="000000"/>
          <w:kern w:val="0"/>
          <w:sz w:val="32"/>
          <w:szCs w:val="32"/>
        </w:rPr>
        <w:t>[2002] 94</w:t>
      </w:r>
      <w:r w:rsidRPr="00AE262E">
        <w:rPr>
          <w:rFonts w:ascii="仿宋_GB2312" w:eastAsia="仿宋_GB2312" w:hAnsi="宋体" w:cs="宋体" w:hint="eastAsia"/>
          <w:color w:val="000000"/>
          <w:kern w:val="0"/>
          <w:sz w:val="32"/>
          <w:szCs w:val="32"/>
        </w:rPr>
        <w:t>号）规定的税收优惠政策。</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r w:rsidRPr="00AE262E">
        <w:rPr>
          <w:rFonts w:ascii="Times New Roman" w:eastAsia="宋体" w:hAnsi="Times New Roman" w:cs="Times New Roman"/>
          <w:color w:val="000000"/>
          <w:kern w:val="0"/>
          <w:sz w:val="32"/>
          <w:szCs w:val="32"/>
        </w:rPr>
        <w:lastRenderedPageBreak/>
        <w:t xml:space="preserve">        </w:t>
      </w:r>
      <w:r w:rsidRPr="00AE262E">
        <w:rPr>
          <w:rFonts w:ascii="仿宋_GB2312" w:eastAsia="仿宋_GB2312" w:hAnsi="宋体" w:cs="宋体" w:hint="eastAsia"/>
          <w:color w:val="000000"/>
          <w:kern w:val="0"/>
          <w:sz w:val="32"/>
          <w:szCs w:val="32"/>
        </w:rPr>
        <w:t>中国长城资产管理公司和中国东方资产管理公司如经国务院批准改制后，继承其权利、义务的主体及其分支机构处置剩余政策性剥离不良资产比照执行前款所列规范性文件规定的税收优惠政策。</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r w:rsidRPr="00AE262E">
        <w:rPr>
          <w:rFonts w:ascii="Times New Roman" w:eastAsia="宋体" w:hAnsi="Times New Roman" w:cs="Times New Roman"/>
          <w:color w:val="000000"/>
          <w:kern w:val="0"/>
          <w:sz w:val="32"/>
          <w:szCs w:val="32"/>
        </w:rPr>
        <w:t xml:space="preserve">        </w:t>
      </w:r>
      <w:r w:rsidRPr="00AE262E">
        <w:rPr>
          <w:rFonts w:ascii="仿宋_GB2312" w:eastAsia="仿宋_GB2312" w:hAnsi="宋体" w:cs="宋体" w:hint="eastAsia"/>
          <w:color w:val="000000"/>
          <w:kern w:val="0"/>
          <w:sz w:val="32"/>
          <w:szCs w:val="32"/>
        </w:rPr>
        <w:t>二、资产公司及其分支机构收购、承接和处置改制银行剥离不良资产比照执行其收购、承接和处置政策性剥离不良资产的税收优惠政策。</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r w:rsidRPr="00AE262E">
        <w:rPr>
          <w:rFonts w:ascii="Times New Roman" w:eastAsia="宋体" w:hAnsi="Times New Roman" w:cs="Times New Roman"/>
          <w:color w:val="000000"/>
          <w:kern w:val="0"/>
          <w:sz w:val="32"/>
          <w:szCs w:val="32"/>
        </w:rPr>
        <w:t xml:space="preserve">        </w:t>
      </w:r>
      <w:r w:rsidRPr="00AE262E">
        <w:rPr>
          <w:rFonts w:ascii="仿宋_GB2312" w:eastAsia="仿宋_GB2312" w:hAnsi="宋体" w:cs="宋体" w:hint="eastAsia"/>
          <w:color w:val="000000"/>
          <w:kern w:val="0"/>
          <w:sz w:val="32"/>
          <w:szCs w:val="32"/>
        </w:rPr>
        <w:t>中国长城资产管理公司和中国东方资产管理公司如经国务院批准改制后，继承其权利、义务的主体及其分支机构处置改制银行剥离不良资产比照执行资产公司收购、承接和处置政策性剥离不良资产的税收优惠政策。</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r w:rsidRPr="00AE262E">
        <w:rPr>
          <w:rFonts w:ascii="Times New Roman" w:eastAsia="宋体" w:hAnsi="Times New Roman" w:cs="Times New Roman"/>
          <w:color w:val="000000"/>
          <w:kern w:val="0"/>
          <w:sz w:val="32"/>
          <w:szCs w:val="32"/>
        </w:rPr>
        <w:t xml:space="preserve">        </w:t>
      </w:r>
      <w:r w:rsidRPr="00AE262E">
        <w:rPr>
          <w:rFonts w:ascii="仿宋_GB2312" w:eastAsia="仿宋_GB2312" w:hAnsi="宋体" w:cs="宋体" w:hint="eastAsia"/>
          <w:color w:val="000000"/>
          <w:kern w:val="0"/>
          <w:sz w:val="32"/>
          <w:szCs w:val="32"/>
        </w:rPr>
        <w:t>三、本通知所指政策性</w:t>
      </w:r>
      <w:proofErr w:type="gramStart"/>
      <w:r w:rsidRPr="00AE262E">
        <w:rPr>
          <w:rFonts w:ascii="仿宋_GB2312" w:eastAsia="仿宋_GB2312" w:hAnsi="宋体" w:cs="宋体" w:hint="eastAsia"/>
          <w:color w:val="000000"/>
          <w:kern w:val="0"/>
          <w:sz w:val="32"/>
          <w:szCs w:val="32"/>
        </w:rPr>
        <w:t>剥离指</w:t>
      </w:r>
      <w:proofErr w:type="gramEnd"/>
      <w:r w:rsidRPr="00AE262E">
        <w:rPr>
          <w:rFonts w:ascii="仿宋_GB2312" w:eastAsia="仿宋_GB2312" w:hAnsi="宋体" w:cs="宋体" w:hint="eastAsia"/>
          <w:color w:val="000000"/>
          <w:kern w:val="0"/>
          <w:sz w:val="32"/>
          <w:szCs w:val="32"/>
        </w:rPr>
        <w:t>资产公司按照国务院规定的范围和额度，以账面价值进行收购的相关国有银行的不良资产。</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r w:rsidRPr="00AE262E">
        <w:rPr>
          <w:rFonts w:ascii="Times New Roman" w:eastAsia="宋体" w:hAnsi="Times New Roman" w:cs="Times New Roman"/>
          <w:color w:val="000000"/>
          <w:kern w:val="0"/>
          <w:sz w:val="32"/>
          <w:szCs w:val="32"/>
        </w:rPr>
        <w:t xml:space="preserve">        </w:t>
      </w:r>
      <w:r w:rsidRPr="00AE262E">
        <w:rPr>
          <w:rFonts w:ascii="仿宋_GB2312" w:eastAsia="仿宋_GB2312" w:hAnsi="宋体" w:cs="宋体" w:hint="eastAsia"/>
          <w:color w:val="000000"/>
          <w:kern w:val="0"/>
          <w:sz w:val="32"/>
          <w:szCs w:val="32"/>
        </w:rPr>
        <w:t>本通知所指改制银行剥离不良资产是指资产公司按照《中国银行和中国建设银行改制过程中可疑类贷款处置管理办法》（财金</w:t>
      </w:r>
      <w:r w:rsidRPr="00AE262E">
        <w:rPr>
          <w:rFonts w:ascii="Times New Roman" w:eastAsia="宋体" w:hAnsi="Times New Roman" w:cs="Times New Roman"/>
          <w:color w:val="000000"/>
          <w:kern w:val="0"/>
          <w:sz w:val="32"/>
          <w:szCs w:val="32"/>
        </w:rPr>
        <w:t>[2004]53</w:t>
      </w:r>
      <w:r w:rsidRPr="00AE262E">
        <w:rPr>
          <w:rFonts w:ascii="仿宋_GB2312" w:eastAsia="仿宋_GB2312" w:hAnsi="宋体" w:cs="宋体" w:hint="eastAsia"/>
          <w:color w:val="000000"/>
          <w:kern w:val="0"/>
          <w:sz w:val="32"/>
          <w:szCs w:val="32"/>
        </w:rPr>
        <w:t>号）、《中国工商银行改制过程中可疑类贷款处置管理办法》（银发</w:t>
      </w:r>
      <w:r w:rsidRPr="00AE262E">
        <w:rPr>
          <w:rFonts w:ascii="Times New Roman" w:eastAsia="宋体" w:hAnsi="Times New Roman" w:cs="Times New Roman"/>
          <w:color w:val="000000"/>
          <w:kern w:val="0"/>
          <w:sz w:val="32"/>
          <w:szCs w:val="32"/>
        </w:rPr>
        <w:t>[2005]148</w:t>
      </w:r>
      <w:r w:rsidRPr="00AE262E">
        <w:rPr>
          <w:rFonts w:ascii="仿宋_GB2312" w:eastAsia="仿宋_GB2312" w:hAnsi="宋体" w:cs="宋体" w:hint="eastAsia"/>
          <w:color w:val="000000"/>
          <w:kern w:val="0"/>
          <w:sz w:val="32"/>
          <w:szCs w:val="32"/>
        </w:rPr>
        <w:t>号）规定及中国交通银行股份制改造时国务院确定的不良资产的范围和额度收购的不良资产。</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r w:rsidRPr="00AE262E">
        <w:rPr>
          <w:rFonts w:ascii="Times New Roman" w:eastAsia="宋体" w:hAnsi="Times New Roman" w:cs="Times New Roman"/>
          <w:color w:val="000000"/>
          <w:kern w:val="0"/>
          <w:sz w:val="32"/>
          <w:szCs w:val="32"/>
        </w:rPr>
        <w:lastRenderedPageBreak/>
        <w:t xml:space="preserve">       </w:t>
      </w:r>
      <w:r w:rsidRPr="00AE262E">
        <w:rPr>
          <w:rFonts w:ascii="仿宋_GB2312" w:eastAsia="仿宋_GB2312" w:hAnsi="宋体" w:cs="宋体" w:hint="eastAsia"/>
          <w:color w:val="000000"/>
          <w:kern w:val="0"/>
          <w:sz w:val="32"/>
          <w:szCs w:val="32"/>
        </w:rPr>
        <w:t>本通知所指处置不良资产是指资产公司按照有关法律、行政法规，为使不良资产的价值得到实现而采取的债权转移的措施，具体包括运用出售、置换、资产重组、债转股、证券化等方法对贷款及其抵押品进行处置。</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r w:rsidRPr="00AE262E">
        <w:rPr>
          <w:rFonts w:ascii="Times New Roman" w:eastAsia="宋体" w:hAnsi="Times New Roman" w:cs="Times New Roman"/>
          <w:color w:val="000000"/>
          <w:kern w:val="0"/>
          <w:sz w:val="32"/>
          <w:szCs w:val="32"/>
        </w:rPr>
        <w:t xml:space="preserve">        </w:t>
      </w:r>
      <w:r w:rsidRPr="00AE262E">
        <w:rPr>
          <w:rFonts w:ascii="仿宋_GB2312" w:eastAsia="仿宋_GB2312" w:hAnsi="宋体" w:cs="宋体" w:hint="eastAsia"/>
          <w:color w:val="000000"/>
          <w:kern w:val="0"/>
          <w:sz w:val="32"/>
          <w:szCs w:val="32"/>
        </w:rPr>
        <w:t>四、资产公司（含中国长城资产管理公司和中国东方资产管理公司如经国务院批准改制后继承其权利、义务的主体）除收购、承接、处置本通知规定的政策性剥离不良资产和改制银行剥离不良资产业务外，从事其他经营业务应一律依法纳税。</w:t>
      </w:r>
    </w:p>
    <w:p w:rsidR="00AE262E" w:rsidRPr="00AE262E" w:rsidRDefault="00AE262E" w:rsidP="00AE262E">
      <w:pPr>
        <w:widowControl/>
        <w:wordWrap w:val="0"/>
        <w:spacing w:before="100" w:beforeAutospacing="1" w:after="100" w:afterAutospacing="1"/>
        <w:ind w:firstLine="630"/>
        <w:jc w:val="left"/>
        <w:rPr>
          <w:rFonts w:ascii="宋体" w:eastAsia="宋体" w:hAnsi="宋体" w:cs="宋体"/>
          <w:color w:val="000000"/>
          <w:kern w:val="0"/>
          <w:sz w:val="24"/>
          <w:szCs w:val="24"/>
        </w:rPr>
      </w:pPr>
      <w:r w:rsidRPr="00AE262E">
        <w:rPr>
          <w:rFonts w:ascii="仿宋_GB2312" w:eastAsia="仿宋_GB2312" w:hAnsi="宋体" w:cs="宋体" w:hint="eastAsia"/>
          <w:color w:val="000000"/>
          <w:kern w:val="0"/>
          <w:sz w:val="32"/>
          <w:szCs w:val="32"/>
        </w:rPr>
        <w:t>五、此前有关规定与本通知有抵触的，以本通知为准。</w:t>
      </w:r>
      <w:r w:rsidRPr="00AE262E">
        <w:rPr>
          <w:rFonts w:ascii="Times New Roman" w:eastAsia="宋体" w:hAnsi="Times New Roman" w:cs="Times New Roman"/>
          <w:color w:val="000000"/>
          <w:kern w:val="0"/>
          <w:sz w:val="32"/>
          <w:szCs w:val="32"/>
        </w:rPr>
        <w:t> </w:t>
      </w:r>
    </w:p>
    <w:p w:rsidR="00AE262E" w:rsidRPr="00AE262E" w:rsidRDefault="00AE262E" w:rsidP="00AE262E">
      <w:pPr>
        <w:widowControl/>
        <w:wordWrap w:val="0"/>
        <w:spacing w:before="100" w:beforeAutospacing="1" w:after="100" w:afterAutospacing="1"/>
        <w:jc w:val="left"/>
        <w:rPr>
          <w:rFonts w:ascii="宋体" w:eastAsia="宋体" w:hAnsi="宋体" w:cs="宋体"/>
          <w:color w:val="000000"/>
          <w:kern w:val="0"/>
          <w:sz w:val="24"/>
          <w:szCs w:val="24"/>
        </w:rPr>
      </w:pPr>
    </w:p>
    <w:p w:rsidR="00AE262E" w:rsidRPr="00AE262E" w:rsidRDefault="00AE262E" w:rsidP="00AE262E">
      <w:pPr>
        <w:widowControl/>
        <w:wordWrap w:val="0"/>
        <w:spacing w:before="100" w:beforeAutospacing="1" w:after="100" w:afterAutospacing="1"/>
        <w:ind w:firstLine="1280"/>
        <w:jc w:val="left"/>
        <w:rPr>
          <w:rFonts w:ascii="宋体" w:eastAsia="宋体" w:hAnsi="宋体" w:cs="宋体"/>
          <w:color w:val="000000"/>
          <w:kern w:val="0"/>
          <w:sz w:val="24"/>
          <w:szCs w:val="24"/>
        </w:rPr>
      </w:pPr>
      <w:r w:rsidRPr="00AE262E">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 xml:space="preserve">      </w:t>
      </w:r>
      <w:r w:rsidRPr="00AE262E">
        <w:rPr>
          <w:rFonts w:ascii="仿宋_GB2312" w:eastAsia="仿宋_GB2312" w:hAnsi="宋体" w:cs="宋体" w:hint="eastAsia"/>
          <w:color w:val="000000"/>
          <w:kern w:val="0"/>
          <w:sz w:val="32"/>
          <w:szCs w:val="32"/>
        </w:rPr>
        <w:t> </w:t>
      </w:r>
      <w:r w:rsidRPr="00AE262E">
        <w:rPr>
          <w:rFonts w:ascii="仿宋_GB2312" w:eastAsia="仿宋_GB2312" w:hAnsi="宋体" w:cs="宋体" w:hint="eastAsia"/>
          <w:color w:val="000000"/>
          <w:kern w:val="0"/>
          <w:sz w:val="32"/>
          <w:szCs w:val="32"/>
        </w:rPr>
        <w:t>财政部</w:t>
      </w:r>
      <w:r w:rsidRPr="00AE262E">
        <w:rPr>
          <w:rFonts w:ascii="Times New Roman" w:eastAsia="宋体" w:hAnsi="Times New Roman" w:cs="Times New Roman"/>
          <w:color w:val="000000"/>
          <w:kern w:val="0"/>
          <w:sz w:val="32"/>
          <w:szCs w:val="32"/>
        </w:rPr>
        <w:t xml:space="preserve">        </w:t>
      </w:r>
      <w:r w:rsidRPr="00AE262E">
        <w:rPr>
          <w:rFonts w:ascii="仿宋_GB2312" w:eastAsia="仿宋_GB2312" w:hAnsi="宋体" w:cs="宋体" w:hint="eastAsia"/>
          <w:color w:val="000000"/>
          <w:kern w:val="0"/>
          <w:sz w:val="32"/>
          <w:szCs w:val="32"/>
        </w:rPr>
        <w:t>国家税务总局</w:t>
      </w:r>
      <w:r w:rsidRPr="00AE262E">
        <w:rPr>
          <w:rFonts w:ascii="Times New Roman" w:eastAsia="宋体" w:hAnsi="Times New Roman" w:cs="Times New Roman"/>
          <w:color w:val="000000"/>
          <w:kern w:val="0"/>
          <w:sz w:val="32"/>
          <w:szCs w:val="32"/>
        </w:rPr>
        <w:t> </w:t>
      </w:r>
    </w:p>
    <w:p w:rsidR="00AE262E" w:rsidRPr="00AE262E" w:rsidRDefault="00AE262E" w:rsidP="00AE262E">
      <w:pPr>
        <w:widowControl/>
        <w:wordWrap w:val="0"/>
        <w:spacing w:before="100" w:beforeAutospacing="1" w:after="100" w:afterAutospacing="1"/>
        <w:ind w:right="480" w:firstLine="630"/>
        <w:jc w:val="right"/>
        <w:rPr>
          <w:rFonts w:ascii="宋体" w:eastAsia="宋体" w:hAnsi="宋体" w:cs="宋体"/>
          <w:color w:val="000000"/>
          <w:kern w:val="0"/>
          <w:sz w:val="24"/>
          <w:szCs w:val="24"/>
        </w:rPr>
      </w:pPr>
      <w:r w:rsidRPr="00AE262E">
        <w:rPr>
          <w:rFonts w:ascii="Times New Roman" w:eastAsia="宋体" w:hAnsi="Times New Roman" w:cs="Times New Roman"/>
          <w:color w:val="000000"/>
          <w:kern w:val="0"/>
          <w:sz w:val="32"/>
          <w:szCs w:val="32"/>
        </w:rPr>
        <w:t>2013</w:t>
      </w:r>
      <w:r w:rsidRPr="00AE262E">
        <w:rPr>
          <w:rFonts w:ascii="仿宋_GB2312" w:eastAsia="仿宋_GB2312" w:hAnsi="宋体" w:cs="宋体" w:hint="eastAsia"/>
          <w:color w:val="000000"/>
          <w:kern w:val="0"/>
          <w:sz w:val="32"/>
          <w:szCs w:val="32"/>
        </w:rPr>
        <w:t>年</w:t>
      </w:r>
      <w:r w:rsidRPr="00AE262E">
        <w:rPr>
          <w:rFonts w:ascii="Times New Roman" w:eastAsia="宋体" w:hAnsi="Times New Roman" w:cs="Times New Roman"/>
          <w:color w:val="000000"/>
          <w:kern w:val="0"/>
          <w:sz w:val="32"/>
          <w:szCs w:val="32"/>
        </w:rPr>
        <w:t>8</w:t>
      </w:r>
      <w:r w:rsidRPr="00AE262E">
        <w:rPr>
          <w:rFonts w:ascii="仿宋_GB2312" w:eastAsia="仿宋_GB2312" w:hAnsi="宋体" w:cs="宋体" w:hint="eastAsia"/>
          <w:color w:val="000000"/>
          <w:kern w:val="0"/>
          <w:sz w:val="32"/>
          <w:szCs w:val="32"/>
        </w:rPr>
        <w:t>月</w:t>
      </w:r>
      <w:r w:rsidRPr="00AE262E">
        <w:rPr>
          <w:rFonts w:ascii="Times New Roman" w:eastAsia="宋体" w:hAnsi="Times New Roman" w:cs="Times New Roman"/>
          <w:color w:val="000000"/>
          <w:kern w:val="0"/>
          <w:sz w:val="32"/>
          <w:szCs w:val="32"/>
        </w:rPr>
        <w:t>28</w:t>
      </w:r>
      <w:r w:rsidRPr="00AE262E">
        <w:rPr>
          <w:rFonts w:ascii="仿宋_GB2312" w:eastAsia="仿宋_GB2312" w:hAnsi="宋体" w:cs="宋体" w:hint="eastAsia"/>
          <w:color w:val="000000"/>
          <w:kern w:val="0"/>
          <w:sz w:val="32"/>
          <w:szCs w:val="32"/>
        </w:rPr>
        <w:t>日</w:t>
      </w:r>
    </w:p>
    <w:sectPr w:rsidR="00AE262E" w:rsidRPr="00AE2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688" w:rsidRDefault="008E7688" w:rsidP="00AE262E">
      <w:r>
        <w:separator/>
      </w:r>
    </w:p>
  </w:endnote>
  <w:endnote w:type="continuationSeparator" w:id="0">
    <w:p w:rsidR="008E7688" w:rsidRDefault="008E7688" w:rsidP="00AE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688" w:rsidRDefault="008E7688" w:rsidP="00AE262E">
      <w:r>
        <w:separator/>
      </w:r>
    </w:p>
  </w:footnote>
  <w:footnote w:type="continuationSeparator" w:id="0">
    <w:p w:rsidR="008E7688" w:rsidRDefault="008E7688" w:rsidP="00AE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F7"/>
    <w:rsid w:val="002D2EB3"/>
    <w:rsid w:val="005654F7"/>
    <w:rsid w:val="008E7688"/>
    <w:rsid w:val="00AE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62E"/>
    <w:rPr>
      <w:sz w:val="18"/>
      <w:szCs w:val="18"/>
    </w:rPr>
  </w:style>
  <w:style w:type="paragraph" w:styleId="a4">
    <w:name w:val="footer"/>
    <w:basedOn w:val="a"/>
    <w:link w:val="Char0"/>
    <w:uiPriority w:val="99"/>
    <w:unhideWhenUsed/>
    <w:rsid w:val="00AE262E"/>
    <w:pPr>
      <w:tabs>
        <w:tab w:val="center" w:pos="4153"/>
        <w:tab w:val="right" w:pos="8306"/>
      </w:tabs>
      <w:snapToGrid w:val="0"/>
      <w:jc w:val="left"/>
    </w:pPr>
    <w:rPr>
      <w:sz w:val="18"/>
      <w:szCs w:val="18"/>
    </w:rPr>
  </w:style>
  <w:style w:type="character" w:customStyle="1" w:styleId="Char0">
    <w:name w:val="页脚 Char"/>
    <w:basedOn w:val="a0"/>
    <w:link w:val="a4"/>
    <w:uiPriority w:val="99"/>
    <w:rsid w:val="00AE26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2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262E"/>
    <w:rPr>
      <w:sz w:val="18"/>
      <w:szCs w:val="18"/>
    </w:rPr>
  </w:style>
  <w:style w:type="paragraph" w:styleId="a4">
    <w:name w:val="footer"/>
    <w:basedOn w:val="a"/>
    <w:link w:val="Char0"/>
    <w:uiPriority w:val="99"/>
    <w:unhideWhenUsed/>
    <w:rsid w:val="00AE262E"/>
    <w:pPr>
      <w:tabs>
        <w:tab w:val="center" w:pos="4153"/>
        <w:tab w:val="right" w:pos="8306"/>
      </w:tabs>
      <w:snapToGrid w:val="0"/>
      <w:jc w:val="left"/>
    </w:pPr>
    <w:rPr>
      <w:sz w:val="18"/>
      <w:szCs w:val="18"/>
    </w:rPr>
  </w:style>
  <w:style w:type="character" w:customStyle="1" w:styleId="Char0">
    <w:name w:val="页脚 Char"/>
    <w:basedOn w:val="a0"/>
    <w:link w:val="a4"/>
    <w:uiPriority w:val="99"/>
    <w:rsid w:val="00AE2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21836">
      <w:bodyDiv w:val="1"/>
      <w:marLeft w:val="0"/>
      <w:marRight w:val="0"/>
      <w:marTop w:val="0"/>
      <w:marBottom w:val="0"/>
      <w:divBdr>
        <w:top w:val="none" w:sz="0" w:space="0" w:color="auto"/>
        <w:left w:val="none" w:sz="0" w:space="0" w:color="auto"/>
        <w:bottom w:val="none" w:sz="0" w:space="0" w:color="auto"/>
        <w:right w:val="none" w:sz="0" w:space="0" w:color="auto"/>
      </w:divBdr>
      <w:divsChild>
        <w:div w:id="184289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1092</Characters>
  <Application>Microsoft Office Word</Application>
  <DocSecurity>0</DocSecurity>
  <Lines>9</Lines>
  <Paragraphs>2</Paragraphs>
  <ScaleCrop>false</ScaleCrop>
  <Company>微软中国</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2013-11-14T02:20:00Z</dcterms:created>
  <dcterms:modified xsi:type="dcterms:W3CDTF">2013-11-14T02:21:00Z</dcterms:modified>
</cp:coreProperties>
</file>