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62" w:rsidRDefault="004F4D62" w:rsidP="004F4D62">
      <w:pPr>
        <w:widowControl/>
        <w:shd w:val="clear" w:color="auto" w:fill="FFFFFF"/>
        <w:spacing w:before="390" w:after="390" w:line="360" w:lineRule="atLeast"/>
        <w:ind w:firstLine="480"/>
        <w:jc w:val="center"/>
        <w:rPr>
          <w:rFonts w:ascii="&lt;a href=" w:eastAsia="宋体" w:hAnsi="&lt;a href=" w:cs="宋体" w:hint="eastAsia"/>
          <w:color w:val="252525"/>
          <w:kern w:val="0"/>
          <w:szCs w:val="21"/>
        </w:rPr>
      </w:pPr>
      <w:r w:rsidRPr="004F4D62">
        <w:rPr>
          <w:rFonts w:ascii="宋体" w:eastAsia="宋体" w:hAnsi="宋体" w:cs="宋体" w:hint="eastAsia"/>
          <w:b/>
          <w:bCs/>
          <w:color w:val="252525"/>
          <w:kern w:val="0"/>
          <w:sz w:val="36"/>
          <w:szCs w:val="36"/>
        </w:rPr>
        <w:t>国务院办公厅关于进一步加快</w:t>
      </w:r>
      <w:r w:rsidRPr="004F4D62">
        <w:rPr>
          <w:rFonts w:ascii="宋体" w:eastAsia="宋体" w:hAnsi="宋体" w:cs="宋体" w:hint="eastAsia"/>
          <w:b/>
          <w:bCs/>
          <w:color w:val="252525"/>
          <w:kern w:val="0"/>
          <w:sz w:val="36"/>
          <w:szCs w:val="36"/>
        </w:rPr>
        <w:br/>
        <w:t>煤层气（煤矿瓦斯）抽采利用的意见</w:t>
      </w:r>
    </w:p>
    <w:p w:rsidR="004F4D62" w:rsidRPr="004F4D62" w:rsidRDefault="004F4D62" w:rsidP="004F4D62">
      <w:pPr>
        <w:widowControl/>
        <w:shd w:val="clear" w:color="auto" w:fill="FFFFFF"/>
        <w:spacing w:before="390" w:after="390" w:line="360" w:lineRule="atLeast"/>
        <w:ind w:firstLine="480"/>
        <w:jc w:val="center"/>
        <w:rPr>
          <w:rFonts w:ascii="宋体" w:eastAsia="宋体" w:hAnsi="宋体" w:cs="宋体"/>
          <w:color w:val="252525"/>
          <w:kern w:val="0"/>
          <w:szCs w:val="21"/>
        </w:rPr>
      </w:pPr>
      <w:r w:rsidRPr="004F4D62">
        <w:rPr>
          <w:rFonts w:ascii="&lt;a href=" w:eastAsia="宋体" w:hAnsi="&lt;a href=" w:cs="宋体" w:hint="eastAsia"/>
          <w:color w:val="252525"/>
          <w:kern w:val="0"/>
          <w:szCs w:val="21"/>
        </w:rPr>
        <w:t>国办发〔</w:t>
      </w:r>
      <w:r w:rsidRPr="004F4D62">
        <w:rPr>
          <w:rFonts w:ascii="&lt;a href=" w:eastAsia="宋体" w:hAnsi="&lt;a href=" w:cs="宋体" w:hint="eastAsia"/>
          <w:color w:val="252525"/>
          <w:kern w:val="0"/>
          <w:szCs w:val="21"/>
        </w:rPr>
        <w:t>2013</w:t>
      </w:r>
      <w:r w:rsidRPr="004F4D62">
        <w:rPr>
          <w:rFonts w:ascii="&lt;a href=" w:eastAsia="宋体" w:hAnsi="&lt;a href=" w:cs="宋体" w:hint="eastAsia"/>
          <w:color w:val="252525"/>
          <w:kern w:val="0"/>
          <w:szCs w:val="21"/>
        </w:rPr>
        <w:t>〕</w:t>
      </w:r>
      <w:r w:rsidRPr="004F4D62">
        <w:rPr>
          <w:rFonts w:ascii="&lt;a href=" w:eastAsia="宋体" w:hAnsi="&lt;a href=" w:cs="宋体" w:hint="eastAsia"/>
          <w:color w:val="252525"/>
          <w:kern w:val="0"/>
          <w:szCs w:val="21"/>
        </w:rPr>
        <w:t>93</w:t>
      </w:r>
      <w:r w:rsidRPr="004F4D62">
        <w:rPr>
          <w:rFonts w:ascii="&lt;a href=" w:eastAsia="宋体" w:hAnsi="&lt;a href=" w:cs="宋体" w:hint="eastAsia"/>
          <w:color w:val="252525"/>
          <w:kern w:val="0"/>
          <w:szCs w:val="21"/>
        </w:rPr>
        <w:t>号</w:t>
      </w:r>
    </w:p>
    <w:p w:rsidR="004F4D62" w:rsidRPr="004F4D62" w:rsidRDefault="004F4D62" w:rsidP="004F4D62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Cs w:val="21"/>
        </w:rPr>
      </w:pP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各省、自治区、直辖市人民政府，国务院各部委、各直属机构：</w:t>
      </w:r>
      <w:bookmarkStart w:id="0" w:name="_GoBack"/>
      <w:bookmarkEnd w:id="0"/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为适应</w:t>
      </w:r>
      <w:hyperlink r:id="rId7" w:tgtFrame="_blank" w:tooltip="煤矿瓦斯" w:history="1">
        <w:r w:rsidRPr="004F4D62">
          <w:rPr>
            <w:rFonts w:ascii="宋体" w:eastAsia="宋体" w:hAnsi="宋体" w:cs="宋体" w:hint="eastAsia"/>
            <w:color w:val="0F6B99"/>
            <w:kern w:val="0"/>
            <w:szCs w:val="21"/>
            <w:u w:val="single"/>
          </w:rPr>
          <w:t>煤矿瓦斯</w:t>
        </w:r>
      </w:hyperlink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防治和</w:t>
      </w:r>
      <w:hyperlink r:id="rId8" w:tgtFrame="_blank" w:tooltip="煤层气" w:history="1">
        <w:r w:rsidRPr="004F4D62">
          <w:rPr>
            <w:rFonts w:ascii="宋体" w:eastAsia="宋体" w:hAnsi="宋体" w:cs="宋体" w:hint="eastAsia"/>
            <w:color w:val="0F6B99"/>
            <w:kern w:val="0"/>
            <w:szCs w:val="21"/>
            <w:u w:val="single"/>
          </w:rPr>
          <w:t>煤层气</w:t>
        </w:r>
      </w:hyperlink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产业化发展的新形势，进一步加大政策扶持力度，加快煤层气（煤矿瓦斯）抽采利用，促进煤矿安全生产形势持续稳定好转，经国务院同意，现提出以下意见：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宋体" w:eastAsia="宋体" w:hAnsi="宋体" w:cs="宋体" w:hint="eastAsia"/>
          <w:b/>
          <w:bCs/>
          <w:color w:val="252525"/>
          <w:kern w:val="0"/>
          <w:szCs w:val="21"/>
        </w:rPr>
        <w:t>一、加大财政资金支持力度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（一）提高财政补贴标准。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综合考虑抽采利用成本和市场销售价格等因素，提高煤层气（煤矿瓦斯）开发利用中央财政补贴标准，进一步调动企业积极性。具体标准由财政部会同发展改革委、能源局等部门研究制定。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（二）强化中央财政奖励资金引导扶持。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落实煤炭行业淘汰落后产能及小煤矿整顿关闭扶持政策，安排中央财政奖励资金重点支持关闭高瓦斯和煤与瓦斯突出小煤矿，加快推进煤炭产业结构调整和煤矿企业兼并重组。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（三）加大中央财政建设投资支持力度。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统筹安排中央财政建设投资支持煤矿瓦斯治理利用，将保护层开采配套工程、井下瓦斯抽采工程纳入煤矿安全改造投资支持范围，输配管网及利用设施、煤层气开发利用示范项目纳入煤炭产业升级改造投资支持范围，治理利用技术装备研发纳入能源自主创新和能源装备投资支持范围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（四）落实煤炭生产安全费用提取政策。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煤矿企业应严格按照国家有关规定，根据煤矿瓦斯等灾害治理的实际需要，科学合理确定煤炭生产安全费用提取标准，并确保提取到位、专款专用，年度结余资金可结转下年度使用。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宋体" w:eastAsia="宋体" w:hAnsi="宋体" w:cs="宋体" w:hint="eastAsia"/>
          <w:b/>
          <w:bCs/>
          <w:color w:val="252525"/>
          <w:kern w:val="0"/>
          <w:szCs w:val="21"/>
        </w:rPr>
        <w:t>二、强化税费政策扶持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（五）完善增值税优惠政策。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加快营业税改征增值税改革试点，扩大煤矿企业增值税进项税抵扣范围。结合资源综合利用增值税政策的调整完善，研究制定煤层气（煤矿瓦斯）发电的增值税优惠政策。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（六）加大所得税优惠力度。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煤层气（煤矿瓦斯）开发利用财政补贴，符合有关专项用途财政性资金企业所得税处理规定的，作为企业所得税不征税收入处理。财政部、税务总局、安全监管总局等部门，抓紧修改完善安全生产专用设备企业所得税优惠目录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宋体" w:eastAsia="宋体" w:hAnsi="宋体" w:cs="宋体" w:hint="eastAsia"/>
          <w:b/>
          <w:bCs/>
          <w:color w:val="252525"/>
          <w:kern w:val="0"/>
          <w:szCs w:val="21"/>
        </w:rPr>
        <w:t>三、完善煤层气价格和发电上网政策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（七）落实煤层气市场定价机制。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各地要严格落实放开煤层气（煤矿瓦斯）出厂价格政策，已纳入地方政府管理的要尽快放开价格，未进入城市公共管网的销售价格由供需双方协商定价，进入城市公共管网的煤层气（煤矿瓦斯）销售价格按不低于同等热值天然气价格确定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（八）支持煤层气发电上网。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煤矿企业利用煤层气（煤矿瓦斯）发电优先自发自用，富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lastRenderedPageBreak/>
        <w:t>裕电量需要上网的，由电网企业全部收购。相关部门和单位应进一步简化煤层气（煤矿瓦斯）发电并网项目核准、环评、用地、电网接入和发电许可等手续，加快审核办理。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（九）完善煤层气发电价格政策。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根据煤层气（煤矿瓦斯）发电造价及运营成本变化情况，按照合理成本加合理利润的原则，适时提高煤层气（煤矿瓦斯）发电上网标杆电价，未提高前仍执行现行政策。电网企业因此增加的购电成本，通过调整销售电价统筹解决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宋体" w:eastAsia="宋体" w:hAnsi="宋体" w:cs="宋体" w:hint="eastAsia"/>
          <w:b/>
          <w:bCs/>
          <w:color w:val="252525"/>
          <w:kern w:val="0"/>
          <w:szCs w:val="21"/>
        </w:rPr>
        <w:t>四、加强煤层气开发利用管理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（十）加强煤层气矿业权管理。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建立煤层气、煤炭协调开发机制，统筹煤层气、煤炭资源勘查开采布局和时序，合理确定煤层气勘查开采区块。对煤炭规划5年内开始建井开采的区域，按照煤层气开发服务于煤炭开发的原则，采取合作或调整煤层气矿业权范围等方式，优先保证煤炭资源开发需要，并有效开发利用煤层气资源；对煤炭规划5年后开始建井开采的区域，应坚持“先采气、后采煤”，做好采气采煤施工衔接。增设一批煤层气矿业权，通过招投标等竞争方式，优先配置给有开发实力的煤层气和煤炭企业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（十一）建立勘查开发约束机制。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新设煤层气或煤炭探矿权，必须符合矿产资源、煤层气开发利用等规划，并对煤层气、煤炭资源进行综合勘查、评价和储量评审备案。研究提高煤层气最低勘查投入标准，限期提交资源储量报告。对长期勘查投入不足、勘查结束不及时开发的企业，核减其矿业权面积；对具备开发条件的区块，限期完成产能建设；对不按合同实施勘查开发的对外合作项目，依法终止合同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（十二）鼓励规模化开发利用。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统筹规划建设煤层气规模化开发区块输气管网等基础设施，支持大型煤矿区瓦斯输配系</w:t>
      </w:r>
      <w:proofErr w:type="gramStart"/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统区域</w:t>
      </w:r>
      <w:proofErr w:type="gramEnd"/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联网，推进中小煤矿联合建设瓦斯集输管网。鼓励民间资本参与煤层气勘探开发、储配及输气管道建设。鼓励金融机构积极做好煤层气（煤矿瓦斯）开发利用项目的金融支持服务工作。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（十三）规范煤层气投资项目管理。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煤层气开发、输送、利用等建设项目根据投资主体、投资来源和建设规模实行审批、核准或备案制，并在政府核准的投资项目目录等文件中予以明确。研究完善煤层气勘探开发利用管理制度，推动煤层气产业规范有序发展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宋体" w:eastAsia="宋体" w:hAnsi="宋体" w:cs="宋体" w:hint="eastAsia"/>
          <w:b/>
          <w:bCs/>
          <w:color w:val="252525"/>
          <w:kern w:val="0"/>
          <w:szCs w:val="21"/>
        </w:rPr>
        <w:t>五、推进科技创新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（十四）加快科技研发应用。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继续实施国家科技重大专项及有关科技计划，进一步加大对煤层气（煤矿瓦斯）基础理论研究和关键技术及装备研发的支持力度。地方政府及有关部门要制定政策，引导科研机构和企业加大科技投入，持续开展煤矿瓦斯防治和煤层气勘探开发技术攻关，推进科技成果尽快转化应用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（十五）加强创新平台建设。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加强煤层气开发利用、煤矿瓦斯治理国家工程（技术）研究中心和产业技术创新战略联盟等创新平台建设，支持煤炭、煤层气企业建立瓦斯防治和煤层气勘探开发研究机构，增强自主研发和集成创新能力。鼓励具有技术、管理优势的企业和科研院校开展相关技术咨询和工程服务。鼓励高等院校和培训机构加强煤层气专业技术人才培养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宋体" w:eastAsia="宋体" w:hAnsi="宋体" w:cs="宋体" w:hint="eastAsia"/>
          <w:b/>
          <w:bCs/>
          <w:color w:val="252525"/>
          <w:kern w:val="0"/>
          <w:szCs w:val="21"/>
        </w:rPr>
        <w:t>六、加强组织领导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（十六）强化协调指导。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煤矿瓦斯防治部际协调领导小组要加强组织领导和综合协调，各成员单位要切实履职尽责、密切配合，及时研究解决重大问题。各产煤省（区、市）要健全煤矿瓦斯防治（集中整治）领导小组，明确办公室依托单位，落实专职人员和专门经费，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lastRenderedPageBreak/>
        <w:t>不断完善工作机制和管理制度。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（十七）严格目标考核。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各重点产煤省级人民政府要通过签订目标责任书等有效方式，把年度瓦斯事故及死亡人数控制目标、煤层气（煤矿瓦斯）开发利用目标落实到相关市、县人民政府和煤炭、煤层气企业，并严格绩效考核。有关部门要研究将煤层气开发利用量不计入能源消费总量控制指标，提高煤层气（煤矿瓦斯）利用率，促进节能减排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  <w:t xml:space="preserve">　　</w:t>
      </w:r>
      <w:r w:rsidRPr="004F4D62">
        <w:rPr>
          <w:rFonts w:ascii="楷体_GB2312" w:eastAsia="楷体_GB2312" w:hAnsi="宋体" w:cs="宋体" w:hint="eastAsia"/>
          <w:color w:val="252525"/>
          <w:kern w:val="0"/>
          <w:szCs w:val="21"/>
        </w:rPr>
        <w:t>（十八）加强督促落实。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各有关部门要围绕煤矿瓦斯防治和煤层气开发利用重点任务，明确工作责任，抓紧研究出台配套政策措施。各地区要结合实际，制定本地区鼓励和支持政策，指导帮助企业把政策措施落实到位。各级煤矿瓦斯防治协调领导机构要加强督促检查，定期通报有关情况，对在煤矿瓦斯防治和煤层气开发利用工作中</w:t>
      </w:r>
      <w:proofErr w:type="gramStart"/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作出</w:t>
      </w:r>
      <w:proofErr w:type="gramEnd"/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突出贡献的单位及个人按照国家有关规定给予表彰奖励。</w:t>
      </w:r>
    </w:p>
    <w:p w:rsidR="004F4D62" w:rsidRPr="004F4D62" w:rsidRDefault="004F4D62" w:rsidP="004F4D62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Cs w:val="21"/>
        </w:rPr>
      </w:pP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国务院办公厅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</w:r>
      <w:proofErr w:type="gramStart"/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 xml:space="preserve">　　　　　　　　　　　　　　　　　　　　　　　　　</w:t>
      </w:r>
      <w:proofErr w:type="gramEnd"/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t>2013年9月14日</w:t>
      </w:r>
      <w:r w:rsidRPr="004F4D62">
        <w:rPr>
          <w:rFonts w:ascii="宋体" w:eastAsia="宋体" w:hAnsi="宋体" w:cs="宋体" w:hint="eastAsia"/>
          <w:color w:val="252525"/>
          <w:kern w:val="0"/>
          <w:szCs w:val="21"/>
        </w:rPr>
        <w:br/>
      </w:r>
    </w:p>
    <w:p w:rsidR="00D523F9" w:rsidRPr="004F4D62" w:rsidRDefault="00D523F9"/>
    <w:sectPr w:rsidR="00D523F9" w:rsidRPr="004F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53" w:rsidRDefault="00841F53" w:rsidP="004F4D62">
      <w:r>
        <w:separator/>
      </w:r>
    </w:p>
  </w:endnote>
  <w:endnote w:type="continuationSeparator" w:id="0">
    <w:p w:rsidR="00841F53" w:rsidRDefault="00841F53" w:rsidP="004F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&lt;a href=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53" w:rsidRDefault="00841F53" w:rsidP="004F4D62">
      <w:r>
        <w:separator/>
      </w:r>
    </w:p>
  </w:footnote>
  <w:footnote w:type="continuationSeparator" w:id="0">
    <w:p w:rsidR="00841F53" w:rsidRDefault="00841F53" w:rsidP="004F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12"/>
    <w:rsid w:val="004F4D62"/>
    <w:rsid w:val="00841F53"/>
    <w:rsid w:val="00B57E12"/>
    <w:rsid w:val="00D5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67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y.163.com/keywords/7/6/71645c426c14/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ey.163.com/keywords/7/6/716477ff74e665af/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436</Words>
  <Characters>2488</Characters>
  <Application>Microsoft Office Word</Application>
  <DocSecurity>0</DocSecurity>
  <Lines>20</Lines>
  <Paragraphs>5</Paragraphs>
  <ScaleCrop>false</ScaleCrop>
  <Company>微软中国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2013-10-08T07:13:00Z</dcterms:created>
  <dcterms:modified xsi:type="dcterms:W3CDTF">2013-10-08T07:16:00Z</dcterms:modified>
</cp:coreProperties>
</file>