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CA" w:rsidRDefault="000270CA" w:rsidP="00EF7547">
      <w:pPr>
        <w:rPr>
          <w:rFonts w:hint="eastAsia"/>
          <w:b/>
          <w:sz w:val="32"/>
          <w:szCs w:val="32"/>
        </w:rPr>
      </w:pPr>
      <w:r w:rsidRPr="00EF7547">
        <w:rPr>
          <w:rFonts w:ascii="宋体" w:eastAsia="宋体" w:hAnsi="宋体" w:cs="宋体" w:hint="eastAsia"/>
          <w:spacing w:val="2"/>
          <w:kern w:val="0"/>
          <w:sz w:val="24"/>
          <w:szCs w:val="24"/>
        </w:rPr>
        <w:t>关于进一步扶持新型显示器件产业发展有关税收优惠政策的通知</w:t>
      </w:r>
    </w:p>
    <w:p w:rsidR="000270CA" w:rsidRDefault="000270CA" w:rsidP="00EF7547">
      <w:pPr>
        <w:rPr>
          <w:rFonts w:hint="eastAsia"/>
          <w:b/>
          <w:sz w:val="32"/>
          <w:szCs w:val="32"/>
        </w:rPr>
      </w:pPr>
      <w:r w:rsidRPr="00EF7547">
        <w:rPr>
          <w:rFonts w:ascii="宋体" w:eastAsia="宋体" w:hAnsi="宋体" w:cs="宋体" w:hint="eastAsia"/>
          <w:spacing w:val="2"/>
          <w:kern w:val="0"/>
          <w:sz w:val="24"/>
          <w:szCs w:val="24"/>
        </w:rPr>
        <w:t>发文时间</w:t>
      </w:r>
      <w:r>
        <w:rPr>
          <w:rFonts w:ascii="宋体" w:eastAsia="宋体" w:hAnsi="宋体" w:cs="宋体" w:hint="eastAsia"/>
          <w:spacing w:val="2"/>
          <w:kern w:val="0"/>
          <w:sz w:val="24"/>
          <w:szCs w:val="24"/>
        </w:rPr>
        <w:t xml:space="preserve"> </w:t>
      </w:r>
      <w:r w:rsidRPr="00EF7547">
        <w:rPr>
          <w:rFonts w:ascii="宋体" w:eastAsia="宋体" w:hAnsi="宋体" w:cs="宋体" w:hint="eastAsia"/>
          <w:spacing w:val="2"/>
          <w:kern w:val="0"/>
          <w:sz w:val="24"/>
          <w:szCs w:val="24"/>
        </w:rPr>
        <w:t>2012年4月9日</w:t>
      </w:r>
    </w:p>
    <w:p w:rsidR="000270CA" w:rsidRDefault="000270CA" w:rsidP="00EF7547">
      <w:pPr>
        <w:rPr>
          <w:rFonts w:hint="eastAsia"/>
          <w:b/>
          <w:sz w:val="32"/>
          <w:szCs w:val="32"/>
        </w:rPr>
      </w:pPr>
      <w:r w:rsidRPr="00EF7547">
        <w:rPr>
          <w:rFonts w:ascii="宋体" w:eastAsia="宋体" w:hAnsi="宋体" w:cs="宋体" w:hint="eastAsia"/>
          <w:spacing w:val="2"/>
          <w:kern w:val="0"/>
          <w:sz w:val="24"/>
          <w:szCs w:val="24"/>
        </w:rPr>
        <w:t>文    号</w:t>
      </w:r>
      <w:r>
        <w:rPr>
          <w:rFonts w:ascii="宋体" w:eastAsia="宋体" w:hAnsi="宋体" w:cs="宋体" w:hint="eastAsia"/>
          <w:spacing w:val="2"/>
          <w:kern w:val="0"/>
          <w:sz w:val="24"/>
          <w:szCs w:val="24"/>
        </w:rPr>
        <w:t xml:space="preserve">  </w:t>
      </w:r>
      <w:r w:rsidRPr="00EF7547">
        <w:rPr>
          <w:rFonts w:ascii="宋体" w:eastAsia="宋体" w:hAnsi="宋体" w:cs="宋体" w:hint="eastAsia"/>
          <w:spacing w:val="2"/>
          <w:kern w:val="0"/>
          <w:sz w:val="24"/>
          <w:szCs w:val="24"/>
        </w:rPr>
        <w:t>财关税[2012]16号</w:t>
      </w:r>
    </w:p>
    <w:p w:rsidR="000270CA" w:rsidRDefault="000270CA" w:rsidP="00EF7547">
      <w:pPr>
        <w:rPr>
          <w:rFonts w:ascii="宋体" w:eastAsia="宋体" w:hAnsi="宋体" w:cs="宋体" w:hint="eastAsia"/>
          <w:spacing w:val="2"/>
          <w:kern w:val="0"/>
          <w:sz w:val="24"/>
          <w:szCs w:val="24"/>
        </w:rPr>
      </w:pPr>
      <w:r w:rsidRPr="00EF7547">
        <w:rPr>
          <w:rFonts w:ascii="宋体" w:eastAsia="宋体" w:hAnsi="宋体" w:cs="宋体" w:hint="eastAsia"/>
          <w:spacing w:val="2"/>
          <w:kern w:val="0"/>
          <w:sz w:val="24"/>
          <w:szCs w:val="24"/>
        </w:rPr>
        <w:t>发文机关财政部、海关总署、国家税务总局</w:t>
      </w:r>
    </w:p>
    <w:p w:rsidR="000270CA" w:rsidRDefault="000270CA" w:rsidP="00EF7547">
      <w:pPr>
        <w:rPr>
          <w:rFonts w:hint="eastAsia"/>
          <w:b/>
          <w:sz w:val="32"/>
          <w:szCs w:val="32"/>
        </w:rPr>
      </w:pPr>
    </w:p>
    <w:p w:rsidR="000270CA" w:rsidRDefault="000270CA" w:rsidP="00EF7547">
      <w:pPr>
        <w:rPr>
          <w:rFonts w:hint="eastAsia"/>
          <w:b/>
          <w:sz w:val="32"/>
          <w:szCs w:val="32"/>
        </w:rPr>
      </w:pPr>
      <w:r w:rsidRPr="00EF7547">
        <w:rPr>
          <w:rFonts w:ascii="宋体" w:eastAsia="宋体" w:hAnsi="宋体" w:cs="宋体" w:hint="eastAsia"/>
          <w:spacing w:val="2"/>
          <w:kern w:val="0"/>
          <w:sz w:val="24"/>
          <w:szCs w:val="24"/>
        </w:rPr>
        <w:t xml:space="preserve">财关税[2012]16号-财政部　海关总署　国家税务总局关于进一步扶持新型显示器件产业发展有关税收优惠政策的通知 </w:t>
      </w:r>
      <w:bookmarkStart w:id="0" w:name="_GoBack"/>
      <w:bookmarkEnd w:id="0"/>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各省、自治区、直辖市、计划单列市财政厅（局）、国家税务局，新疆生产建设兵团财务局，海关总署广东分署、各直属海关：</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为进一步鼓励和促进新型显示器件产业的发展，经国务院批准，现将有关进口税收政策通知如下：</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一、自2012 年1 月1 日至2015 年12 月31 日，新型显示器件（包括薄膜晶体管液晶、等离子、有机发光二极管）面板生产企业进口国内不能生产的自用生产性（含研发用）原材料和消耗品，免征进口关税，照章征收进口环节增值税；进口建设净化室所需国内尚无法提供（即国内不能生产或性能不能满足）的配套系统以及维修生产设备所需零部件免征进口关税和进口环节增值税。具体免税办法依照《关于新型显示器件面板生产企业进口物资税收政策的暂行规定》 （以下简称《 暂行规定》 ，见附件）执行。</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二、对符合国内产业自主化发展规划的彩色滤光膜、偏光片等属于新型显示器件产业上游的关键原材料、零部件的生产企业，经财政部会同有关部门共同确定后，可享受进口国内不能生产的自用生产性原材料、消耗品免征进口关税的优惠政策。该政策的操作程序比照上述面板生产企业的《暂行规定》 执行。</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三、“十二五”期间财政部将会同相关部门根据国内配套产业的发展情况，适时调整新型显示器件产业相关免税进口商品清单。</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附件：关于新型显示器件面板生产企业进口物资税收政策的暂行规定</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财政部</w:t>
      </w:r>
      <w:r w:rsidRPr="00EF7547">
        <w:rPr>
          <w:rFonts w:ascii="宋体" w:eastAsia="宋体" w:hAnsi="宋体" w:cs="宋体" w:hint="eastAsia"/>
          <w:spacing w:val="2"/>
          <w:kern w:val="0"/>
          <w:sz w:val="24"/>
          <w:szCs w:val="24"/>
        </w:rPr>
        <w:br/>
        <w:t>   海关总署</w:t>
      </w:r>
      <w:r w:rsidRPr="00EF7547">
        <w:rPr>
          <w:rFonts w:ascii="宋体" w:eastAsia="宋体" w:hAnsi="宋体" w:cs="宋体" w:hint="eastAsia"/>
          <w:spacing w:val="2"/>
          <w:kern w:val="0"/>
          <w:sz w:val="24"/>
          <w:szCs w:val="24"/>
        </w:rPr>
        <w:br/>
        <w:t>   国家税务总局</w:t>
      </w:r>
      <w:r w:rsidRPr="00EF7547">
        <w:rPr>
          <w:rFonts w:ascii="宋体" w:eastAsia="宋体" w:hAnsi="宋体" w:cs="宋体" w:hint="eastAsia"/>
          <w:spacing w:val="2"/>
          <w:kern w:val="0"/>
          <w:sz w:val="24"/>
          <w:szCs w:val="24"/>
        </w:rPr>
        <w:br/>
        <w:t>   二〇一二年四月九日</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附件：</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关于新型显示器件面板生产企业进口物资税收政策的暂行规定</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r>
      <w:r w:rsidRPr="00EF7547">
        <w:rPr>
          <w:rFonts w:ascii="宋体" w:eastAsia="宋体" w:hAnsi="宋体" w:cs="宋体" w:hint="eastAsia"/>
          <w:spacing w:val="2"/>
          <w:kern w:val="0"/>
          <w:sz w:val="24"/>
          <w:szCs w:val="24"/>
        </w:rPr>
        <w:lastRenderedPageBreak/>
        <w:t>   一、根据国务院批准的保留并调整新型显示器件生产企业进口物资免征进口税收政策的精神，特制定本规定。</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二、本规定中所指新型显示器件包括薄膜晶体管液晶显示器件面板（TFT – LCD ）、等离子显示面板（PDP ）、有机发光二极管显示面板( OLED ) 3 类。</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三、在2011 年12 月31 日前经财政部会同有关部门认定，</w:t>
      </w:r>
      <w:proofErr w:type="gramStart"/>
      <w:r w:rsidRPr="00EF7547">
        <w:rPr>
          <w:rFonts w:ascii="宋体" w:eastAsia="宋体" w:hAnsi="宋体" w:cs="宋体" w:hint="eastAsia"/>
          <w:spacing w:val="2"/>
          <w:kern w:val="0"/>
          <w:sz w:val="24"/>
          <w:szCs w:val="24"/>
        </w:rPr>
        <w:t>己取得新型</w:t>
      </w:r>
      <w:proofErr w:type="gramEnd"/>
      <w:r w:rsidRPr="00EF7547">
        <w:rPr>
          <w:rFonts w:ascii="宋体" w:eastAsia="宋体" w:hAnsi="宋体" w:cs="宋体" w:hint="eastAsia"/>
          <w:spacing w:val="2"/>
          <w:kern w:val="0"/>
          <w:sz w:val="24"/>
          <w:szCs w:val="24"/>
        </w:rPr>
        <w:t>显示器件生产企业进口物资免税资格的企业，在2012 年1 月1 日至2015年12月31日，按本规定第六款至第九款享受进口物资税收优惠政策。企业名单另行下发。</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四、尚未取得免税资格的新型显示器件生产企业，在有关项目通过投资主管部门核准或备案后，可通过省级人民政府或同级财政部门向财政部提出免税申请。申请文件中应说明企业性质、项目建设情况（包括项目进度、产品类型、产能和初期产量、投产和量产时间等）、进口物资情况（包括进口物资类别、进口时间、进口金额及相应的免税金额等，格式附后），同时还应</w:t>
      </w:r>
      <w:proofErr w:type="gramStart"/>
      <w:r w:rsidRPr="00EF7547">
        <w:rPr>
          <w:rFonts w:ascii="宋体" w:eastAsia="宋体" w:hAnsi="宋体" w:cs="宋体" w:hint="eastAsia"/>
          <w:spacing w:val="2"/>
          <w:kern w:val="0"/>
          <w:sz w:val="24"/>
          <w:szCs w:val="24"/>
        </w:rPr>
        <w:t>附投资</w:t>
      </w:r>
      <w:proofErr w:type="gramEnd"/>
      <w:r w:rsidRPr="00EF7547">
        <w:rPr>
          <w:rFonts w:ascii="宋体" w:eastAsia="宋体" w:hAnsi="宋体" w:cs="宋体" w:hint="eastAsia"/>
          <w:spacing w:val="2"/>
          <w:kern w:val="0"/>
          <w:sz w:val="24"/>
          <w:szCs w:val="24"/>
        </w:rPr>
        <w:t>主管部门出具的关于该项目的核准（或备案）文件以及国家鼓励发展的内外资项目确认书。</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五、财政部会同海关总署、税务总局等有关部门对上述申请集中予以审核。</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六、取得免税资格的生产企业进口规定范围内的生产性（含研发用）原材料和消耗品免征进口关税，进口建设净化室所需的规定范围内的配套系统免征进口关税和进口环节增值税。财政部会同有关部门负责制定上述原材料、消耗品和净化</w:t>
      </w:r>
      <w:proofErr w:type="gramStart"/>
      <w:r w:rsidRPr="00EF7547">
        <w:rPr>
          <w:rFonts w:ascii="宋体" w:eastAsia="宋体" w:hAnsi="宋体" w:cs="宋体" w:hint="eastAsia"/>
          <w:spacing w:val="2"/>
          <w:kern w:val="0"/>
          <w:sz w:val="24"/>
          <w:szCs w:val="24"/>
        </w:rPr>
        <w:t>室配套</w:t>
      </w:r>
      <w:proofErr w:type="gramEnd"/>
      <w:r w:rsidRPr="00EF7547">
        <w:rPr>
          <w:rFonts w:ascii="宋体" w:eastAsia="宋体" w:hAnsi="宋体" w:cs="宋体" w:hint="eastAsia"/>
          <w:spacing w:val="2"/>
          <w:kern w:val="0"/>
          <w:sz w:val="24"/>
          <w:szCs w:val="24"/>
        </w:rPr>
        <w:t>系统的免税商品清单，具体清单另行公布。企业进口超出免税商品清单范围的，应予以照章征税。</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七、取得免税资格的生产企业进口维修规定范围内的生产设备、在经核定的年度进口金额内所需零部件，免征进口关税和进口环节增值税。零部件年度免税进口金额根据企业所进口生产设备的总价及设备使用年限，按照相应的维修经验公式计算确定。财政部会同有关部门负责制定生产设备的清单以及计算零部件进口额度的公式，具体清单及公式另行公布。企业超出免税额度进口的维修用零部件，予以照章征税。企业应在规定的免税进口额度内将实际零部件进口清单报海关审核备案，以利于海关后续监管。</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八、新型显示器件生产企业根据本规定免税进口的物资只能用于本企业的生产建设，不得擅自转让或移作他用。违反政策规定的企业将被取消享受该政策的资格，同时按照相关规定予以处罚。</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九、取得免税资格的新型显示器件生产企业应于每年l月向财政部关税司报告上一年度进口原材料、消耗品、配套系统以及零配件的实际免税情况（包括进口商品清单、进口金额和免税金额以及政策执行效果等内容），并抄送海关总署关税征管司和税务总局货物和劳务税司。</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r>
      <w:r w:rsidRPr="00EF7547">
        <w:rPr>
          <w:rFonts w:ascii="宋体" w:eastAsia="宋体" w:hAnsi="宋体" w:cs="宋体" w:hint="eastAsia"/>
          <w:spacing w:val="2"/>
          <w:kern w:val="0"/>
          <w:sz w:val="24"/>
          <w:szCs w:val="24"/>
        </w:rPr>
        <w:lastRenderedPageBreak/>
        <w:t>   十、财政部将会同相关部门根据国内配套产业的发展情况，适时调整新型显示器件产业相关免税进口商品清单。新型显示器件面板生产企业以及相关原材料、零配件的供应企业，可通过省级财政部门或相关行业主管部门或协会向财政部提出调整上述进口物资免税范围的具体建议。</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十一、本规定由财政部会同海关总署、税务总局负责解释。</w:t>
      </w:r>
      <w:r w:rsidRPr="00EF7547">
        <w:rPr>
          <w:rFonts w:ascii="宋体" w:eastAsia="宋体" w:hAnsi="宋体" w:cs="宋体" w:hint="eastAsia"/>
          <w:spacing w:val="2"/>
          <w:kern w:val="0"/>
          <w:sz w:val="24"/>
          <w:szCs w:val="24"/>
        </w:rPr>
        <w:br/>
        <w:t xml:space="preserve">   </w:t>
      </w:r>
      <w:r w:rsidRPr="00EF7547">
        <w:rPr>
          <w:rFonts w:ascii="宋体" w:eastAsia="宋体" w:hAnsi="宋体" w:cs="宋体" w:hint="eastAsia"/>
          <w:spacing w:val="2"/>
          <w:kern w:val="0"/>
          <w:sz w:val="24"/>
          <w:szCs w:val="24"/>
        </w:rPr>
        <w:br/>
        <w:t>   十二、本规定执行时间为2012 年l月1日至2015年12月31日。</w:t>
      </w:r>
    </w:p>
    <w:p w:rsidR="000270CA" w:rsidRDefault="000270CA" w:rsidP="00EF7547">
      <w:pPr>
        <w:rPr>
          <w:rFonts w:hint="eastAsia"/>
          <w:b/>
          <w:sz w:val="32"/>
          <w:szCs w:val="32"/>
        </w:rPr>
      </w:pPr>
    </w:p>
    <w:p w:rsidR="000270CA" w:rsidRPr="000270CA" w:rsidRDefault="000270CA" w:rsidP="00EF7547">
      <w:pPr>
        <w:rPr>
          <w:rFonts w:hint="eastAsia"/>
          <w:b/>
          <w:sz w:val="32"/>
          <w:szCs w:val="32"/>
        </w:rPr>
      </w:pPr>
      <w:r w:rsidRPr="00EF7547">
        <w:rPr>
          <w:rFonts w:ascii="宋体" w:eastAsia="宋体" w:hAnsi="宋体" w:cs="宋体" w:hint="eastAsia"/>
          <w:spacing w:val="2"/>
          <w:kern w:val="0"/>
          <w:sz w:val="24"/>
          <w:szCs w:val="24"/>
        </w:rPr>
        <w:t>附：</w:t>
      </w:r>
      <w:hyperlink r:id="rId7" w:tgtFrame="_blank" w:history="1">
        <w:r w:rsidRPr="00EF7547">
          <w:rPr>
            <w:rFonts w:ascii="宋体" w:eastAsia="宋体" w:hAnsi="宋体" w:cs="宋体" w:hint="eastAsia"/>
            <w:color w:val="0000FF"/>
            <w:spacing w:val="2"/>
            <w:kern w:val="0"/>
            <w:sz w:val="24"/>
            <w:szCs w:val="24"/>
          </w:rPr>
          <w:t>进口物资金额及其免税</w:t>
        </w:r>
        <w:proofErr w:type="gramStart"/>
        <w:r w:rsidRPr="00EF7547">
          <w:rPr>
            <w:rFonts w:ascii="宋体" w:eastAsia="宋体" w:hAnsi="宋体" w:cs="宋体" w:hint="eastAsia"/>
            <w:color w:val="0000FF"/>
            <w:spacing w:val="2"/>
            <w:kern w:val="0"/>
            <w:sz w:val="24"/>
            <w:szCs w:val="24"/>
          </w:rPr>
          <w:t>额预测表</w:t>
        </w:r>
        <w:proofErr w:type="gramEnd"/>
      </w:hyperlink>
    </w:p>
    <w:p w:rsidR="000270CA" w:rsidRDefault="000270CA" w:rsidP="00EF7547">
      <w:pPr>
        <w:rPr>
          <w:rFonts w:hint="eastAsia"/>
          <w:b/>
          <w:sz w:val="32"/>
          <w:szCs w:val="32"/>
        </w:rPr>
      </w:pPr>
    </w:p>
    <w:p w:rsidR="00EF7547" w:rsidRPr="00E67ACE" w:rsidRDefault="00EF7547" w:rsidP="00EF7547">
      <w:pPr>
        <w:rPr>
          <w:b/>
          <w:sz w:val="32"/>
          <w:szCs w:val="32"/>
        </w:rPr>
      </w:pPr>
      <w:r w:rsidRPr="00E67ACE">
        <w:rPr>
          <w:rFonts w:hint="eastAsia"/>
          <w:b/>
          <w:sz w:val="32"/>
          <w:szCs w:val="32"/>
        </w:rPr>
        <w:t>附：</w:t>
      </w:r>
    </w:p>
    <w:p w:rsidR="00EF7547" w:rsidRPr="00E67ACE" w:rsidRDefault="00EF7547" w:rsidP="00EF7547">
      <w:pPr>
        <w:jc w:val="center"/>
        <w:rPr>
          <w:sz w:val="32"/>
          <w:szCs w:val="32"/>
        </w:rPr>
      </w:pPr>
      <w:r w:rsidRPr="00E67ACE">
        <w:rPr>
          <w:rFonts w:hint="eastAsia"/>
          <w:sz w:val="32"/>
          <w:szCs w:val="32"/>
        </w:rPr>
        <w:t>进口物资金额及其免税</w:t>
      </w:r>
      <w:proofErr w:type="gramStart"/>
      <w:r w:rsidRPr="00E67ACE">
        <w:rPr>
          <w:rFonts w:hint="eastAsia"/>
          <w:sz w:val="32"/>
          <w:szCs w:val="32"/>
        </w:rPr>
        <w:t>额预测表</w:t>
      </w:r>
      <w:proofErr w:type="gramEnd"/>
    </w:p>
    <w:p w:rsidR="00EF7547" w:rsidRPr="00E67ACE" w:rsidRDefault="00EF7547" w:rsidP="00EF7547">
      <w:pPr>
        <w:jc w:val="center"/>
        <w:rPr>
          <w:sz w:val="32"/>
          <w:szCs w:val="32"/>
        </w:rPr>
      </w:pPr>
      <w:r w:rsidRPr="00E67ACE">
        <w:rPr>
          <w:rFonts w:hint="eastAsia"/>
          <w:sz w:val="32"/>
          <w:szCs w:val="32"/>
        </w:rPr>
        <w:t>（填报企业名称）</w:t>
      </w:r>
    </w:p>
    <w:tbl>
      <w:tblPr>
        <w:tblStyle w:val="a7"/>
        <w:tblW w:w="0" w:type="auto"/>
        <w:tblLook w:val="01E0" w:firstRow="1" w:lastRow="1" w:firstColumn="1" w:lastColumn="1" w:noHBand="0" w:noVBand="0"/>
      </w:tblPr>
      <w:tblGrid>
        <w:gridCol w:w="493"/>
        <w:gridCol w:w="670"/>
        <w:gridCol w:w="669"/>
        <w:gridCol w:w="669"/>
        <w:gridCol w:w="669"/>
        <w:gridCol w:w="669"/>
        <w:gridCol w:w="669"/>
        <w:gridCol w:w="669"/>
        <w:gridCol w:w="669"/>
        <w:gridCol w:w="669"/>
        <w:gridCol w:w="669"/>
        <w:gridCol w:w="669"/>
        <w:gridCol w:w="669"/>
      </w:tblGrid>
      <w:tr w:rsidR="00EF7547" w:rsidTr="00781FD5">
        <w:tc>
          <w:tcPr>
            <w:tcW w:w="1090" w:type="dxa"/>
          </w:tcPr>
          <w:p w:rsidR="00EF7547" w:rsidRPr="00E67ACE" w:rsidRDefault="00EF7547" w:rsidP="00781FD5">
            <w:pPr>
              <w:spacing w:line="360" w:lineRule="auto"/>
              <w:jc w:val="center"/>
              <w:rPr>
                <w:sz w:val="30"/>
                <w:szCs w:val="30"/>
              </w:rPr>
            </w:pPr>
          </w:p>
        </w:tc>
        <w:tc>
          <w:tcPr>
            <w:tcW w:w="3270" w:type="dxa"/>
            <w:gridSpan w:val="3"/>
          </w:tcPr>
          <w:p w:rsidR="00EF7547" w:rsidRPr="00E67ACE" w:rsidRDefault="00EF7547" w:rsidP="00781FD5">
            <w:pPr>
              <w:spacing w:line="360" w:lineRule="auto"/>
              <w:jc w:val="center"/>
              <w:rPr>
                <w:sz w:val="30"/>
                <w:szCs w:val="30"/>
              </w:rPr>
            </w:pPr>
            <w:r w:rsidRPr="00E67ACE">
              <w:rPr>
                <w:rFonts w:hint="eastAsia"/>
                <w:sz w:val="30"/>
                <w:szCs w:val="30"/>
              </w:rPr>
              <w:t>2012</w:t>
            </w:r>
            <w:r w:rsidRPr="00E67ACE">
              <w:rPr>
                <w:rFonts w:hint="eastAsia"/>
                <w:sz w:val="30"/>
                <w:szCs w:val="30"/>
              </w:rPr>
              <w:t>年</w:t>
            </w:r>
          </w:p>
        </w:tc>
        <w:tc>
          <w:tcPr>
            <w:tcW w:w="3270" w:type="dxa"/>
            <w:gridSpan w:val="3"/>
          </w:tcPr>
          <w:p w:rsidR="00EF7547" w:rsidRPr="00E67ACE" w:rsidRDefault="00EF7547" w:rsidP="00781FD5">
            <w:pPr>
              <w:spacing w:line="360" w:lineRule="auto"/>
              <w:jc w:val="center"/>
              <w:rPr>
                <w:sz w:val="30"/>
                <w:szCs w:val="30"/>
              </w:rPr>
            </w:pPr>
            <w:r w:rsidRPr="00E67ACE">
              <w:rPr>
                <w:rFonts w:hint="eastAsia"/>
                <w:sz w:val="30"/>
                <w:szCs w:val="30"/>
              </w:rPr>
              <w:t>2013</w:t>
            </w:r>
            <w:r w:rsidRPr="00E67ACE">
              <w:rPr>
                <w:rFonts w:hint="eastAsia"/>
                <w:sz w:val="30"/>
                <w:szCs w:val="30"/>
              </w:rPr>
              <w:t>年</w:t>
            </w:r>
          </w:p>
        </w:tc>
        <w:tc>
          <w:tcPr>
            <w:tcW w:w="3271" w:type="dxa"/>
            <w:gridSpan w:val="3"/>
          </w:tcPr>
          <w:p w:rsidR="00EF7547" w:rsidRPr="00E67ACE" w:rsidRDefault="00EF7547" w:rsidP="00781FD5">
            <w:pPr>
              <w:spacing w:line="360" w:lineRule="auto"/>
              <w:jc w:val="center"/>
              <w:rPr>
                <w:sz w:val="30"/>
                <w:szCs w:val="30"/>
              </w:rPr>
            </w:pPr>
            <w:r w:rsidRPr="00E67ACE">
              <w:rPr>
                <w:rFonts w:hint="eastAsia"/>
                <w:sz w:val="30"/>
                <w:szCs w:val="30"/>
              </w:rPr>
              <w:t>2014</w:t>
            </w:r>
            <w:r w:rsidRPr="00E67ACE">
              <w:rPr>
                <w:rFonts w:hint="eastAsia"/>
                <w:sz w:val="30"/>
                <w:szCs w:val="30"/>
              </w:rPr>
              <w:t>年</w:t>
            </w:r>
          </w:p>
        </w:tc>
        <w:tc>
          <w:tcPr>
            <w:tcW w:w="3273" w:type="dxa"/>
            <w:gridSpan w:val="3"/>
          </w:tcPr>
          <w:p w:rsidR="00EF7547" w:rsidRPr="00E67ACE" w:rsidRDefault="00EF7547" w:rsidP="00781FD5">
            <w:pPr>
              <w:spacing w:line="360" w:lineRule="auto"/>
              <w:jc w:val="center"/>
              <w:rPr>
                <w:sz w:val="30"/>
                <w:szCs w:val="30"/>
              </w:rPr>
            </w:pPr>
            <w:r w:rsidRPr="00E67ACE">
              <w:rPr>
                <w:rFonts w:hint="eastAsia"/>
                <w:sz w:val="30"/>
                <w:szCs w:val="30"/>
              </w:rPr>
              <w:t>2015</w:t>
            </w:r>
            <w:r w:rsidRPr="00E67ACE">
              <w:rPr>
                <w:rFonts w:hint="eastAsia"/>
                <w:sz w:val="30"/>
                <w:szCs w:val="30"/>
              </w:rPr>
              <w:t>年</w:t>
            </w:r>
          </w:p>
        </w:tc>
      </w:tr>
      <w:tr w:rsidR="00EF7547" w:rsidTr="00781FD5">
        <w:tc>
          <w:tcPr>
            <w:tcW w:w="1090" w:type="dxa"/>
          </w:tcPr>
          <w:p w:rsidR="00EF7547" w:rsidRDefault="00EF7547" w:rsidP="00781FD5">
            <w:pPr>
              <w:spacing w:line="360" w:lineRule="auto"/>
            </w:pPr>
          </w:p>
        </w:tc>
        <w:tc>
          <w:tcPr>
            <w:tcW w:w="1090" w:type="dxa"/>
          </w:tcPr>
          <w:p w:rsidR="00EF7547" w:rsidRDefault="00EF7547" w:rsidP="00781FD5">
            <w:pPr>
              <w:spacing w:line="360" w:lineRule="auto"/>
            </w:pPr>
            <w:r>
              <w:rPr>
                <w:rFonts w:hint="eastAsia"/>
              </w:rPr>
              <w:t>进口金额</w:t>
            </w:r>
          </w:p>
          <w:p w:rsidR="00EF7547" w:rsidRDefault="00EF7547" w:rsidP="00781FD5">
            <w:pPr>
              <w:spacing w:line="360" w:lineRule="auto"/>
            </w:pPr>
            <w:r>
              <w:rPr>
                <w:rFonts w:hint="eastAsia"/>
              </w:rPr>
              <w:t>（万美元）</w:t>
            </w:r>
          </w:p>
        </w:tc>
        <w:tc>
          <w:tcPr>
            <w:tcW w:w="1090" w:type="dxa"/>
          </w:tcPr>
          <w:p w:rsidR="00EF7547" w:rsidRDefault="00EF7547" w:rsidP="00781FD5">
            <w:pPr>
              <w:spacing w:line="360" w:lineRule="auto"/>
            </w:pPr>
            <w:r>
              <w:rPr>
                <w:rFonts w:hint="eastAsia"/>
              </w:rPr>
              <w:t>免征进口关税金额（万元）</w:t>
            </w:r>
          </w:p>
        </w:tc>
        <w:tc>
          <w:tcPr>
            <w:tcW w:w="1090" w:type="dxa"/>
          </w:tcPr>
          <w:p w:rsidR="00EF7547" w:rsidRPr="00E67ACE" w:rsidRDefault="00EF7547" w:rsidP="00781FD5">
            <w:pPr>
              <w:spacing w:line="360" w:lineRule="auto"/>
            </w:pPr>
            <w:r>
              <w:rPr>
                <w:rFonts w:hint="eastAsia"/>
              </w:rPr>
              <w:t>免征进口环节增值税（万元）</w:t>
            </w:r>
          </w:p>
        </w:tc>
        <w:tc>
          <w:tcPr>
            <w:tcW w:w="1090" w:type="dxa"/>
          </w:tcPr>
          <w:p w:rsidR="00EF7547" w:rsidRPr="00E67ACE" w:rsidRDefault="00EF7547" w:rsidP="00781FD5">
            <w:pPr>
              <w:spacing w:line="360" w:lineRule="auto"/>
            </w:pPr>
            <w:r>
              <w:rPr>
                <w:rFonts w:hint="eastAsia"/>
              </w:rPr>
              <w:t>进口金额（万美元）</w:t>
            </w:r>
          </w:p>
        </w:tc>
        <w:tc>
          <w:tcPr>
            <w:tcW w:w="1090" w:type="dxa"/>
          </w:tcPr>
          <w:p w:rsidR="00EF7547" w:rsidRDefault="00EF7547" w:rsidP="00781FD5">
            <w:pPr>
              <w:spacing w:line="360" w:lineRule="auto"/>
            </w:pPr>
            <w:r>
              <w:rPr>
                <w:rFonts w:hint="eastAsia"/>
              </w:rPr>
              <w:t>免征进口关税金额（万元）</w:t>
            </w:r>
          </w:p>
        </w:tc>
        <w:tc>
          <w:tcPr>
            <w:tcW w:w="1090" w:type="dxa"/>
          </w:tcPr>
          <w:p w:rsidR="00EF7547" w:rsidRPr="00E67ACE" w:rsidRDefault="00EF7547" w:rsidP="00781FD5">
            <w:pPr>
              <w:spacing w:line="360" w:lineRule="auto"/>
            </w:pPr>
            <w:r>
              <w:rPr>
                <w:rFonts w:hint="eastAsia"/>
              </w:rPr>
              <w:t>免征进口环节增值税（万元）</w:t>
            </w:r>
          </w:p>
        </w:tc>
        <w:tc>
          <w:tcPr>
            <w:tcW w:w="1090" w:type="dxa"/>
          </w:tcPr>
          <w:p w:rsidR="00EF7547" w:rsidRPr="00E67ACE" w:rsidRDefault="00EF7547" w:rsidP="00781FD5">
            <w:pPr>
              <w:spacing w:line="360" w:lineRule="auto"/>
            </w:pPr>
            <w:r>
              <w:rPr>
                <w:rFonts w:hint="eastAsia"/>
              </w:rPr>
              <w:t>进口金额（万美元）</w:t>
            </w:r>
          </w:p>
        </w:tc>
        <w:tc>
          <w:tcPr>
            <w:tcW w:w="1090" w:type="dxa"/>
          </w:tcPr>
          <w:p w:rsidR="00EF7547" w:rsidRDefault="00EF7547" w:rsidP="00781FD5">
            <w:pPr>
              <w:spacing w:line="360" w:lineRule="auto"/>
            </w:pPr>
            <w:r>
              <w:rPr>
                <w:rFonts w:hint="eastAsia"/>
              </w:rPr>
              <w:t>免征进口关税金额（万元）</w:t>
            </w:r>
          </w:p>
        </w:tc>
        <w:tc>
          <w:tcPr>
            <w:tcW w:w="1091" w:type="dxa"/>
          </w:tcPr>
          <w:p w:rsidR="00EF7547" w:rsidRPr="00E67ACE" w:rsidRDefault="00EF7547" w:rsidP="00781FD5">
            <w:pPr>
              <w:spacing w:line="360" w:lineRule="auto"/>
            </w:pPr>
            <w:r>
              <w:rPr>
                <w:rFonts w:hint="eastAsia"/>
              </w:rPr>
              <w:t>免征进口环节增值税（万元）</w:t>
            </w:r>
          </w:p>
        </w:tc>
        <w:tc>
          <w:tcPr>
            <w:tcW w:w="1091" w:type="dxa"/>
          </w:tcPr>
          <w:p w:rsidR="00EF7547" w:rsidRPr="00E67ACE" w:rsidRDefault="00EF7547" w:rsidP="00781FD5">
            <w:pPr>
              <w:spacing w:line="360" w:lineRule="auto"/>
            </w:pPr>
            <w:r>
              <w:rPr>
                <w:rFonts w:hint="eastAsia"/>
              </w:rPr>
              <w:t>进口金额（万美元）</w:t>
            </w:r>
          </w:p>
        </w:tc>
        <w:tc>
          <w:tcPr>
            <w:tcW w:w="1091" w:type="dxa"/>
          </w:tcPr>
          <w:p w:rsidR="00EF7547" w:rsidRDefault="00EF7547" w:rsidP="00781FD5">
            <w:pPr>
              <w:spacing w:line="360" w:lineRule="auto"/>
            </w:pPr>
            <w:r>
              <w:rPr>
                <w:rFonts w:hint="eastAsia"/>
              </w:rPr>
              <w:t>免征进口关税金额（万元）</w:t>
            </w:r>
          </w:p>
        </w:tc>
        <w:tc>
          <w:tcPr>
            <w:tcW w:w="1091" w:type="dxa"/>
          </w:tcPr>
          <w:p w:rsidR="00EF7547" w:rsidRPr="00E67ACE" w:rsidRDefault="00EF7547" w:rsidP="00781FD5">
            <w:pPr>
              <w:spacing w:line="360" w:lineRule="auto"/>
            </w:pPr>
            <w:r>
              <w:rPr>
                <w:rFonts w:hint="eastAsia"/>
              </w:rPr>
              <w:t>免征进口环节增值税（万元）</w:t>
            </w:r>
          </w:p>
        </w:tc>
      </w:tr>
      <w:tr w:rsidR="00EF7547" w:rsidTr="00781FD5">
        <w:tc>
          <w:tcPr>
            <w:tcW w:w="1090" w:type="dxa"/>
          </w:tcPr>
          <w:p w:rsidR="00EF7547" w:rsidRDefault="00EF7547" w:rsidP="00781FD5">
            <w:pPr>
              <w:spacing w:line="360" w:lineRule="auto"/>
              <w:jc w:val="center"/>
            </w:pPr>
            <w:r>
              <w:rPr>
                <w:rFonts w:hint="eastAsia"/>
              </w:rPr>
              <w:t>原材料</w:t>
            </w: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r>
      <w:tr w:rsidR="00EF7547" w:rsidTr="00781FD5">
        <w:tc>
          <w:tcPr>
            <w:tcW w:w="1090" w:type="dxa"/>
          </w:tcPr>
          <w:p w:rsidR="00EF7547" w:rsidRDefault="00EF7547" w:rsidP="00781FD5">
            <w:pPr>
              <w:spacing w:line="360" w:lineRule="auto"/>
              <w:jc w:val="center"/>
            </w:pPr>
            <w:r>
              <w:rPr>
                <w:rFonts w:hint="eastAsia"/>
              </w:rPr>
              <w:t>消耗品</w:t>
            </w: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r>
      <w:tr w:rsidR="00EF7547" w:rsidTr="00781FD5">
        <w:tc>
          <w:tcPr>
            <w:tcW w:w="1090" w:type="dxa"/>
          </w:tcPr>
          <w:p w:rsidR="00EF7547" w:rsidRDefault="00EF7547" w:rsidP="00781FD5">
            <w:pPr>
              <w:spacing w:line="360" w:lineRule="auto"/>
              <w:jc w:val="center"/>
            </w:pPr>
            <w:r>
              <w:rPr>
                <w:rFonts w:hint="eastAsia"/>
              </w:rPr>
              <w:t>净化</w:t>
            </w:r>
            <w:proofErr w:type="gramStart"/>
            <w:r>
              <w:rPr>
                <w:rFonts w:hint="eastAsia"/>
              </w:rPr>
              <w:lastRenderedPageBreak/>
              <w:t>室配套</w:t>
            </w:r>
            <w:proofErr w:type="gramEnd"/>
            <w:r>
              <w:rPr>
                <w:rFonts w:hint="eastAsia"/>
              </w:rPr>
              <w:t>系统</w:t>
            </w: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r>
      <w:tr w:rsidR="00EF7547" w:rsidTr="00781FD5">
        <w:tc>
          <w:tcPr>
            <w:tcW w:w="1090" w:type="dxa"/>
          </w:tcPr>
          <w:p w:rsidR="00EF7547" w:rsidRDefault="00EF7547" w:rsidP="00781FD5">
            <w:pPr>
              <w:spacing w:line="360" w:lineRule="auto"/>
              <w:jc w:val="center"/>
            </w:pPr>
            <w:r>
              <w:rPr>
                <w:rFonts w:hint="eastAsia"/>
              </w:rPr>
              <w:lastRenderedPageBreak/>
              <w:t>零配件</w:t>
            </w: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r>
      <w:tr w:rsidR="00EF7547" w:rsidTr="00781FD5">
        <w:tc>
          <w:tcPr>
            <w:tcW w:w="1090" w:type="dxa"/>
          </w:tcPr>
          <w:p w:rsidR="00EF7547" w:rsidRDefault="00EF7547" w:rsidP="00781FD5">
            <w:pPr>
              <w:spacing w:line="360" w:lineRule="auto"/>
              <w:jc w:val="center"/>
            </w:pPr>
            <w:r>
              <w:rPr>
                <w:rFonts w:hint="eastAsia"/>
              </w:rPr>
              <w:t>合计</w:t>
            </w: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0"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c>
          <w:tcPr>
            <w:tcW w:w="1091" w:type="dxa"/>
          </w:tcPr>
          <w:p w:rsidR="00EF7547" w:rsidRDefault="00EF7547" w:rsidP="00781FD5">
            <w:pPr>
              <w:spacing w:line="360" w:lineRule="auto"/>
            </w:pPr>
          </w:p>
        </w:tc>
      </w:tr>
    </w:tbl>
    <w:p w:rsidR="00EF7547" w:rsidRDefault="00EF7547" w:rsidP="00EF7547"/>
    <w:p w:rsidR="004376C6" w:rsidRDefault="004376C6"/>
    <w:sectPr w:rsidR="004376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58" w:rsidRDefault="00543358" w:rsidP="00EF7547">
      <w:r>
        <w:separator/>
      </w:r>
    </w:p>
  </w:endnote>
  <w:endnote w:type="continuationSeparator" w:id="0">
    <w:p w:rsidR="00543358" w:rsidRDefault="00543358" w:rsidP="00EF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58" w:rsidRDefault="00543358" w:rsidP="00EF7547">
      <w:r>
        <w:separator/>
      </w:r>
    </w:p>
  </w:footnote>
  <w:footnote w:type="continuationSeparator" w:id="0">
    <w:p w:rsidR="00543358" w:rsidRDefault="00543358" w:rsidP="00EF7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D2"/>
    <w:rsid w:val="000270CA"/>
    <w:rsid w:val="004376C6"/>
    <w:rsid w:val="00446ED2"/>
    <w:rsid w:val="00543358"/>
    <w:rsid w:val="00B53192"/>
    <w:rsid w:val="00EF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7547"/>
    <w:rPr>
      <w:sz w:val="18"/>
      <w:szCs w:val="18"/>
    </w:rPr>
  </w:style>
  <w:style w:type="paragraph" w:styleId="a4">
    <w:name w:val="footer"/>
    <w:basedOn w:val="a"/>
    <w:link w:val="Char0"/>
    <w:uiPriority w:val="99"/>
    <w:unhideWhenUsed/>
    <w:rsid w:val="00EF7547"/>
    <w:pPr>
      <w:tabs>
        <w:tab w:val="center" w:pos="4153"/>
        <w:tab w:val="right" w:pos="8306"/>
      </w:tabs>
      <w:snapToGrid w:val="0"/>
      <w:jc w:val="left"/>
    </w:pPr>
    <w:rPr>
      <w:sz w:val="18"/>
      <w:szCs w:val="18"/>
    </w:rPr>
  </w:style>
  <w:style w:type="character" w:customStyle="1" w:styleId="Char0">
    <w:name w:val="页脚 Char"/>
    <w:basedOn w:val="a0"/>
    <w:link w:val="a4"/>
    <w:uiPriority w:val="99"/>
    <w:rsid w:val="00EF7547"/>
    <w:rPr>
      <w:sz w:val="18"/>
      <w:szCs w:val="18"/>
    </w:rPr>
  </w:style>
  <w:style w:type="character" w:styleId="a5">
    <w:name w:val="Hyperlink"/>
    <w:basedOn w:val="a0"/>
    <w:uiPriority w:val="99"/>
    <w:semiHidden/>
    <w:unhideWhenUsed/>
    <w:rsid w:val="00EF7547"/>
    <w:rPr>
      <w:strike w:val="0"/>
      <w:dstrike w:val="0"/>
      <w:color w:val="0000FF"/>
      <w:u w:val="none"/>
      <w:effect w:val="none"/>
    </w:rPr>
  </w:style>
  <w:style w:type="paragraph" w:styleId="a6">
    <w:name w:val="Normal (Web)"/>
    <w:basedOn w:val="a"/>
    <w:uiPriority w:val="99"/>
    <w:unhideWhenUsed/>
    <w:rsid w:val="00EF754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rsid w:val="00EF75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7547"/>
    <w:rPr>
      <w:sz w:val="18"/>
      <w:szCs w:val="18"/>
    </w:rPr>
  </w:style>
  <w:style w:type="paragraph" w:styleId="a4">
    <w:name w:val="footer"/>
    <w:basedOn w:val="a"/>
    <w:link w:val="Char0"/>
    <w:uiPriority w:val="99"/>
    <w:unhideWhenUsed/>
    <w:rsid w:val="00EF7547"/>
    <w:pPr>
      <w:tabs>
        <w:tab w:val="center" w:pos="4153"/>
        <w:tab w:val="right" w:pos="8306"/>
      </w:tabs>
      <w:snapToGrid w:val="0"/>
      <w:jc w:val="left"/>
    </w:pPr>
    <w:rPr>
      <w:sz w:val="18"/>
      <w:szCs w:val="18"/>
    </w:rPr>
  </w:style>
  <w:style w:type="character" w:customStyle="1" w:styleId="Char0">
    <w:name w:val="页脚 Char"/>
    <w:basedOn w:val="a0"/>
    <w:link w:val="a4"/>
    <w:uiPriority w:val="99"/>
    <w:rsid w:val="00EF7547"/>
    <w:rPr>
      <w:sz w:val="18"/>
      <w:szCs w:val="18"/>
    </w:rPr>
  </w:style>
  <w:style w:type="character" w:styleId="a5">
    <w:name w:val="Hyperlink"/>
    <w:basedOn w:val="a0"/>
    <w:uiPriority w:val="99"/>
    <w:semiHidden/>
    <w:unhideWhenUsed/>
    <w:rsid w:val="00EF7547"/>
    <w:rPr>
      <w:strike w:val="0"/>
      <w:dstrike w:val="0"/>
      <w:color w:val="0000FF"/>
      <w:u w:val="none"/>
      <w:effect w:val="none"/>
    </w:rPr>
  </w:style>
  <w:style w:type="paragraph" w:styleId="a6">
    <w:name w:val="Normal (Web)"/>
    <w:basedOn w:val="a"/>
    <w:uiPriority w:val="99"/>
    <w:unhideWhenUsed/>
    <w:rsid w:val="00EF754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rsid w:val="00EF75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fang.com/download/2012/W02012060649794904823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386</Words>
  <Characters>2206</Characters>
  <Application>Microsoft Office Word</Application>
  <DocSecurity>0</DocSecurity>
  <Lines>18</Lines>
  <Paragraphs>5</Paragraphs>
  <ScaleCrop>false</ScaleCrop>
  <Company>微软中国</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2013-08-19T08:31:00Z</dcterms:created>
  <dcterms:modified xsi:type="dcterms:W3CDTF">2013-10-08T03:07:00Z</dcterms:modified>
</cp:coreProperties>
</file>