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20" w:rsidRDefault="00637D20" w:rsidP="00637D20">
      <w:pPr>
        <w:widowControl/>
        <w:spacing w:line="480" w:lineRule="auto"/>
        <w:jc w:val="center"/>
        <w:rPr>
          <w:rFonts w:ascii="宋体" w:eastAsia="宋体" w:hAnsi="宋体" w:cs="宋体" w:hint="eastAsia"/>
          <w:color w:val="333333"/>
          <w:kern w:val="0"/>
          <w:sz w:val="18"/>
          <w:szCs w:val="18"/>
        </w:rPr>
      </w:pPr>
      <w:r>
        <w:rPr>
          <w:rFonts w:ascii="黑体" w:eastAsia="黑体" w:hint="eastAsia"/>
          <w:color w:val="CC0000"/>
          <w:sz w:val="27"/>
          <w:szCs w:val="27"/>
        </w:rPr>
        <w:t>国家税务总局公告2011年第53号</w:t>
      </w:r>
    </w:p>
    <w:p w:rsidR="00637D20" w:rsidRPr="00637D20" w:rsidRDefault="00637D20" w:rsidP="00637D20">
      <w:pPr>
        <w:widowControl/>
        <w:spacing w:line="480" w:lineRule="auto"/>
        <w:jc w:val="center"/>
        <w:rPr>
          <w:rFonts w:ascii="宋体" w:eastAsia="宋体" w:hAnsi="宋体" w:cs="宋体"/>
          <w:color w:val="333333"/>
          <w:kern w:val="0"/>
          <w:sz w:val="18"/>
          <w:szCs w:val="18"/>
        </w:rPr>
      </w:pPr>
      <w:bookmarkStart w:id="0" w:name="_GoBack"/>
      <w:r w:rsidRPr="00637D20">
        <w:rPr>
          <w:rFonts w:ascii="宋体" w:eastAsia="宋体" w:hAnsi="宋体" w:cs="宋体"/>
          <w:color w:val="333333"/>
          <w:kern w:val="0"/>
          <w:sz w:val="18"/>
          <w:szCs w:val="18"/>
        </w:rPr>
        <w:t>国家税务总局关于配制酒消费税适用税率问题的公告</w:t>
      </w:r>
      <w:bookmarkEnd w:id="0"/>
      <w:r w:rsidRPr="00637D20">
        <w:rPr>
          <w:rFonts w:ascii="宋体" w:eastAsia="宋体" w:hAnsi="宋体" w:cs="宋体"/>
          <w:color w:val="333333"/>
          <w:kern w:val="0"/>
          <w:sz w:val="18"/>
          <w:szCs w:val="18"/>
        </w:rPr>
        <w:t> </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根据《中华人民共和国消费税暂行条例》及其实施细则，现将配制酒消费税适用税率问题公告如下：</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一、配制酒（露酒）是指以发酵酒、蒸馏酒或食用酒精为酒基，加入可食用或药食两用的辅料或食品添加剂，进行调配、混合或再加工制成的、并改变了其原酒基风格的饮料酒。</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 xml:space="preserve">　　二、配制酒消费税适用税率</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（一）以蒸馏酒或食用酒精为酒基，同时符合以下条件的配制酒，按消费税税目税率表“其他酒”10%适用税率征收消费税。</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 xml:space="preserve">　　1. 具有国家相关部门批准</w:t>
      </w:r>
      <w:proofErr w:type="gramStart"/>
      <w:r w:rsidRPr="00637D20">
        <w:rPr>
          <w:rFonts w:ascii="宋体" w:eastAsia="宋体" w:hAnsi="宋体" w:cs="宋体"/>
          <w:color w:val="333333"/>
          <w:kern w:val="0"/>
          <w:sz w:val="18"/>
          <w:szCs w:val="18"/>
        </w:rPr>
        <w:t>的国食健</w:t>
      </w:r>
      <w:proofErr w:type="gramEnd"/>
      <w:r w:rsidRPr="00637D20">
        <w:rPr>
          <w:rFonts w:ascii="宋体" w:eastAsia="宋体" w:hAnsi="宋体" w:cs="宋体"/>
          <w:color w:val="333333"/>
          <w:kern w:val="0"/>
          <w:sz w:val="18"/>
          <w:szCs w:val="18"/>
        </w:rPr>
        <w:t xml:space="preserve">字或卫食健字文号； </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 xml:space="preserve">　　2. 酒精度低于38度（含）。</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（二）以发酵酒为酒基，酒精度低于20度（含）的配制酒，按消费税税目税率表“其他酒”10%适用税率征收消费税。</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（三）其他配制酒，按消费税税目税率表“白酒”适用税率征收消费税。</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上述蒸馏酒或食用酒精为酒基是指酒基中蒸馏酒或食用酒精的比重超过80%（含）；发酵酒为酒基是指酒基中发酵酒的比重超过80%（含）。</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 xml:space="preserve">　　三、本公告自2011年10月1日起执行。《国家税务总局关于消费税若干征税问题的通知》（国税发〔1997〕84号）第三条规定同时废止。</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 xml:space="preserve">　　特此公告。</w:t>
      </w:r>
    </w:p>
    <w:p w:rsidR="00637D20" w:rsidRPr="00637D20" w:rsidRDefault="00637D20" w:rsidP="00637D20">
      <w:pPr>
        <w:widowControl/>
        <w:spacing w:line="480" w:lineRule="auto"/>
        <w:jc w:val="right"/>
        <w:rPr>
          <w:rFonts w:ascii="宋体" w:eastAsia="宋体" w:hAnsi="宋体" w:cs="宋体"/>
          <w:color w:val="333333"/>
          <w:kern w:val="0"/>
          <w:sz w:val="18"/>
          <w:szCs w:val="18"/>
        </w:rPr>
      </w:pPr>
      <w:r w:rsidRPr="00637D20">
        <w:rPr>
          <w:rFonts w:ascii="宋体" w:eastAsia="宋体" w:hAnsi="宋体" w:cs="宋体"/>
          <w:color w:val="333333"/>
          <w:kern w:val="0"/>
          <w:sz w:val="18"/>
          <w:szCs w:val="18"/>
        </w:rPr>
        <w:t xml:space="preserve">二○一一年九月二十八日　　</w:t>
      </w:r>
    </w:p>
    <w:p w:rsidR="00637D20" w:rsidRPr="00637D20" w:rsidRDefault="00637D20" w:rsidP="00637D20">
      <w:pPr>
        <w:widowControl/>
        <w:spacing w:line="480" w:lineRule="auto"/>
        <w:jc w:val="left"/>
        <w:rPr>
          <w:rFonts w:ascii="宋体" w:eastAsia="宋体" w:hAnsi="宋体" w:cs="宋体"/>
          <w:color w:val="333333"/>
          <w:kern w:val="0"/>
          <w:sz w:val="18"/>
          <w:szCs w:val="18"/>
        </w:rPr>
      </w:pPr>
      <w:r w:rsidRPr="00637D20">
        <w:rPr>
          <w:rFonts w:ascii="宋体" w:eastAsia="宋体" w:hAnsi="宋体" w:cs="宋体"/>
          <w:color w:val="333333"/>
          <w:kern w:val="0"/>
          <w:sz w:val="18"/>
          <w:szCs w:val="18"/>
        </w:rPr>
        <w:t> </w:t>
      </w:r>
    </w:p>
    <w:p w:rsidR="00300045" w:rsidRDefault="00300045">
      <w:pPr>
        <w:rPr>
          <w:rFonts w:hint="eastAsia"/>
        </w:rPr>
      </w:pPr>
    </w:p>
    <w:sectPr w:rsidR="00300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36"/>
    <w:rsid w:val="00300045"/>
    <w:rsid w:val="00333036"/>
    <w:rsid w:val="0063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69180">
      <w:bodyDiv w:val="1"/>
      <w:marLeft w:val="0"/>
      <w:marRight w:val="0"/>
      <w:marTop w:val="0"/>
      <w:marBottom w:val="0"/>
      <w:divBdr>
        <w:top w:val="none" w:sz="0" w:space="0" w:color="auto"/>
        <w:left w:val="none" w:sz="0" w:space="0" w:color="auto"/>
        <w:bottom w:val="none" w:sz="0" w:space="0" w:color="auto"/>
        <w:right w:val="none" w:sz="0" w:space="0" w:color="auto"/>
      </w:divBdr>
      <w:divsChild>
        <w:div w:id="567037769">
          <w:marLeft w:val="0"/>
          <w:marRight w:val="0"/>
          <w:marTop w:val="0"/>
          <w:marBottom w:val="0"/>
          <w:divBdr>
            <w:top w:val="none" w:sz="0" w:space="0" w:color="auto"/>
            <w:left w:val="none" w:sz="0" w:space="0" w:color="auto"/>
            <w:bottom w:val="none" w:sz="0" w:space="0" w:color="auto"/>
            <w:right w:val="none" w:sz="0" w:space="0" w:color="auto"/>
          </w:divBdr>
          <w:divsChild>
            <w:div w:id="170923637">
              <w:marLeft w:val="0"/>
              <w:marRight w:val="0"/>
              <w:marTop w:val="0"/>
              <w:marBottom w:val="0"/>
              <w:divBdr>
                <w:top w:val="none" w:sz="0" w:space="0" w:color="auto"/>
                <w:left w:val="none" w:sz="0" w:space="0" w:color="auto"/>
                <w:bottom w:val="none" w:sz="0" w:space="0" w:color="auto"/>
                <w:right w:val="none" w:sz="0" w:space="0" w:color="auto"/>
              </w:divBdr>
              <w:divsChild>
                <w:div w:id="1990017355">
                  <w:marLeft w:val="0"/>
                  <w:marRight w:val="0"/>
                  <w:marTop w:val="0"/>
                  <w:marBottom w:val="0"/>
                  <w:divBdr>
                    <w:top w:val="none" w:sz="0" w:space="0" w:color="auto"/>
                    <w:left w:val="none" w:sz="0" w:space="0" w:color="auto"/>
                    <w:bottom w:val="none" w:sz="0" w:space="0" w:color="auto"/>
                    <w:right w:val="none" w:sz="0" w:space="0" w:color="auto"/>
                  </w:divBdr>
                </w:div>
                <w:div w:id="1762749884">
                  <w:marLeft w:val="0"/>
                  <w:marRight w:val="0"/>
                  <w:marTop w:val="0"/>
                  <w:marBottom w:val="0"/>
                  <w:divBdr>
                    <w:top w:val="none" w:sz="0" w:space="0" w:color="auto"/>
                    <w:left w:val="none" w:sz="0" w:space="0" w:color="auto"/>
                    <w:bottom w:val="none" w:sz="0" w:space="0" w:color="auto"/>
                    <w:right w:val="none" w:sz="0" w:space="0" w:color="auto"/>
                  </w:divBdr>
                </w:div>
                <w:div w:id="1903827889">
                  <w:marLeft w:val="0"/>
                  <w:marRight w:val="0"/>
                  <w:marTop w:val="0"/>
                  <w:marBottom w:val="0"/>
                  <w:divBdr>
                    <w:top w:val="none" w:sz="0" w:space="0" w:color="auto"/>
                    <w:left w:val="none" w:sz="0" w:space="0" w:color="auto"/>
                    <w:bottom w:val="none" w:sz="0" w:space="0" w:color="auto"/>
                    <w:right w:val="none" w:sz="0" w:space="0" w:color="auto"/>
                  </w:divBdr>
                </w:div>
                <w:div w:id="1997298908">
                  <w:marLeft w:val="0"/>
                  <w:marRight w:val="0"/>
                  <w:marTop w:val="0"/>
                  <w:marBottom w:val="0"/>
                  <w:divBdr>
                    <w:top w:val="none" w:sz="0" w:space="0" w:color="auto"/>
                    <w:left w:val="none" w:sz="0" w:space="0" w:color="auto"/>
                    <w:bottom w:val="none" w:sz="0" w:space="0" w:color="auto"/>
                    <w:right w:val="none" w:sz="0" w:space="0" w:color="auto"/>
                  </w:divBdr>
                </w:div>
                <w:div w:id="386346065">
                  <w:marLeft w:val="0"/>
                  <w:marRight w:val="0"/>
                  <w:marTop w:val="0"/>
                  <w:marBottom w:val="0"/>
                  <w:divBdr>
                    <w:top w:val="none" w:sz="0" w:space="0" w:color="auto"/>
                    <w:left w:val="none" w:sz="0" w:space="0" w:color="auto"/>
                    <w:bottom w:val="none" w:sz="0" w:space="0" w:color="auto"/>
                    <w:right w:val="none" w:sz="0" w:space="0" w:color="auto"/>
                  </w:divBdr>
                </w:div>
                <w:div w:id="856580143">
                  <w:marLeft w:val="0"/>
                  <w:marRight w:val="0"/>
                  <w:marTop w:val="0"/>
                  <w:marBottom w:val="0"/>
                  <w:divBdr>
                    <w:top w:val="none" w:sz="0" w:space="0" w:color="auto"/>
                    <w:left w:val="none" w:sz="0" w:space="0" w:color="auto"/>
                    <w:bottom w:val="none" w:sz="0" w:space="0" w:color="auto"/>
                    <w:right w:val="none" w:sz="0" w:space="0" w:color="auto"/>
                  </w:divBdr>
                </w:div>
                <w:div w:id="2145390553">
                  <w:marLeft w:val="0"/>
                  <w:marRight w:val="0"/>
                  <w:marTop w:val="0"/>
                  <w:marBottom w:val="0"/>
                  <w:divBdr>
                    <w:top w:val="none" w:sz="0" w:space="0" w:color="auto"/>
                    <w:left w:val="none" w:sz="0" w:space="0" w:color="auto"/>
                    <w:bottom w:val="none" w:sz="0" w:space="0" w:color="auto"/>
                    <w:right w:val="none" w:sz="0" w:space="0" w:color="auto"/>
                  </w:divBdr>
                </w:div>
                <w:div w:id="31729705">
                  <w:marLeft w:val="0"/>
                  <w:marRight w:val="0"/>
                  <w:marTop w:val="0"/>
                  <w:marBottom w:val="0"/>
                  <w:divBdr>
                    <w:top w:val="none" w:sz="0" w:space="0" w:color="auto"/>
                    <w:left w:val="none" w:sz="0" w:space="0" w:color="auto"/>
                    <w:bottom w:val="none" w:sz="0" w:space="0" w:color="auto"/>
                    <w:right w:val="none" w:sz="0" w:space="0" w:color="auto"/>
                  </w:divBdr>
                </w:div>
                <w:div w:id="856232858">
                  <w:marLeft w:val="0"/>
                  <w:marRight w:val="0"/>
                  <w:marTop w:val="0"/>
                  <w:marBottom w:val="0"/>
                  <w:divBdr>
                    <w:top w:val="none" w:sz="0" w:space="0" w:color="auto"/>
                    <w:left w:val="none" w:sz="0" w:space="0" w:color="auto"/>
                    <w:bottom w:val="none" w:sz="0" w:space="0" w:color="auto"/>
                    <w:right w:val="none" w:sz="0" w:space="0" w:color="auto"/>
                  </w:divBdr>
                </w:div>
                <w:div w:id="120151519">
                  <w:marLeft w:val="0"/>
                  <w:marRight w:val="0"/>
                  <w:marTop w:val="0"/>
                  <w:marBottom w:val="0"/>
                  <w:divBdr>
                    <w:top w:val="none" w:sz="0" w:space="0" w:color="auto"/>
                    <w:left w:val="none" w:sz="0" w:space="0" w:color="auto"/>
                    <w:bottom w:val="none" w:sz="0" w:space="0" w:color="auto"/>
                    <w:right w:val="none" w:sz="0" w:space="0" w:color="auto"/>
                  </w:divBdr>
                </w:div>
                <w:div w:id="1787507189">
                  <w:marLeft w:val="0"/>
                  <w:marRight w:val="0"/>
                  <w:marTop w:val="0"/>
                  <w:marBottom w:val="0"/>
                  <w:divBdr>
                    <w:top w:val="none" w:sz="0" w:space="0" w:color="auto"/>
                    <w:left w:val="none" w:sz="0" w:space="0" w:color="auto"/>
                    <w:bottom w:val="none" w:sz="0" w:space="0" w:color="auto"/>
                    <w:right w:val="none" w:sz="0" w:space="0" w:color="auto"/>
                  </w:divBdr>
                </w:div>
                <w:div w:id="336273102">
                  <w:marLeft w:val="0"/>
                  <w:marRight w:val="0"/>
                  <w:marTop w:val="0"/>
                  <w:marBottom w:val="0"/>
                  <w:divBdr>
                    <w:top w:val="none" w:sz="0" w:space="0" w:color="auto"/>
                    <w:left w:val="none" w:sz="0" w:space="0" w:color="auto"/>
                    <w:bottom w:val="none" w:sz="0" w:space="0" w:color="auto"/>
                    <w:right w:val="none" w:sz="0" w:space="0" w:color="auto"/>
                  </w:divBdr>
                </w:div>
                <w:div w:id="1711493338">
                  <w:marLeft w:val="0"/>
                  <w:marRight w:val="0"/>
                  <w:marTop w:val="0"/>
                  <w:marBottom w:val="0"/>
                  <w:divBdr>
                    <w:top w:val="none" w:sz="0" w:space="0" w:color="auto"/>
                    <w:left w:val="none" w:sz="0" w:space="0" w:color="auto"/>
                    <w:bottom w:val="none" w:sz="0" w:space="0" w:color="auto"/>
                    <w:right w:val="none" w:sz="0" w:space="0" w:color="auto"/>
                  </w:divBdr>
                </w:div>
                <w:div w:id="1289705940">
                  <w:marLeft w:val="0"/>
                  <w:marRight w:val="0"/>
                  <w:marTop w:val="0"/>
                  <w:marBottom w:val="0"/>
                  <w:divBdr>
                    <w:top w:val="none" w:sz="0" w:space="0" w:color="auto"/>
                    <w:left w:val="none" w:sz="0" w:space="0" w:color="auto"/>
                    <w:bottom w:val="none" w:sz="0" w:space="0" w:color="auto"/>
                    <w:right w:val="none" w:sz="0" w:space="0" w:color="auto"/>
                  </w:divBdr>
                </w:div>
                <w:div w:id="966008435">
                  <w:marLeft w:val="0"/>
                  <w:marRight w:val="0"/>
                  <w:marTop w:val="0"/>
                  <w:marBottom w:val="0"/>
                  <w:divBdr>
                    <w:top w:val="none" w:sz="0" w:space="0" w:color="auto"/>
                    <w:left w:val="none" w:sz="0" w:space="0" w:color="auto"/>
                    <w:bottom w:val="none" w:sz="0" w:space="0" w:color="auto"/>
                    <w:right w:val="none" w:sz="0" w:space="0" w:color="auto"/>
                  </w:divBdr>
                </w:div>
                <w:div w:id="1017315490">
                  <w:marLeft w:val="0"/>
                  <w:marRight w:val="0"/>
                  <w:marTop w:val="0"/>
                  <w:marBottom w:val="0"/>
                  <w:divBdr>
                    <w:top w:val="none" w:sz="0" w:space="0" w:color="auto"/>
                    <w:left w:val="none" w:sz="0" w:space="0" w:color="auto"/>
                    <w:bottom w:val="none" w:sz="0" w:space="0" w:color="auto"/>
                    <w:right w:val="none" w:sz="0" w:space="0" w:color="auto"/>
                  </w:divBdr>
                </w:div>
                <w:div w:id="1202015645">
                  <w:marLeft w:val="0"/>
                  <w:marRight w:val="0"/>
                  <w:marTop w:val="0"/>
                  <w:marBottom w:val="0"/>
                  <w:divBdr>
                    <w:top w:val="none" w:sz="0" w:space="0" w:color="auto"/>
                    <w:left w:val="none" w:sz="0" w:space="0" w:color="auto"/>
                    <w:bottom w:val="none" w:sz="0" w:space="0" w:color="auto"/>
                    <w:right w:val="none" w:sz="0" w:space="0" w:color="auto"/>
                  </w:divBdr>
                </w:div>
                <w:div w:id="824974686">
                  <w:marLeft w:val="0"/>
                  <w:marRight w:val="0"/>
                  <w:marTop w:val="0"/>
                  <w:marBottom w:val="0"/>
                  <w:divBdr>
                    <w:top w:val="none" w:sz="0" w:space="0" w:color="auto"/>
                    <w:left w:val="none" w:sz="0" w:space="0" w:color="auto"/>
                    <w:bottom w:val="none" w:sz="0" w:space="0" w:color="auto"/>
                    <w:right w:val="none" w:sz="0" w:space="0" w:color="auto"/>
                  </w:divBdr>
                </w:div>
                <w:div w:id="9864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Company>微软中国</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2013-07-25T08:33:00Z</dcterms:created>
  <dcterms:modified xsi:type="dcterms:W3CDTF">2013-07-25T08:34:00Z</dcterms:modified>
</cp:coreProperties>
</file>