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F5" w:rsidRPr="002151F5" w:rsidRDefault="002151F5" w:rsidP="002151F5">
      <w:pPr>
        <w:widowControl/>
        <w:shd w:val="clear" w:color="auto" w:fill="FFFFFF"/>
        <w:spacing w:before="390" w:after="390" w:line="360" w:lineRule="atLeast"/>
        <w:ind w:firstLine="480"/>
        <w:jc w:val="center"/>
        <w:rPr>
          <w:rFonts w:ascii="宋体" w:eastAsia="宋体" w:hAnsi="宋体" w:cs="宋体"/>
          <w:color w:val="252525"/>
          <w:kern w:val="0"/>
          <w:szCs w:val="21"/>
        </w:rPr>
      </w:pPr>
      <w:r w:rsidRPr="002151F5">
        <w:rPr>
          <w:rFonts w:ascii="宋体" w:eastAsia="宋体" w:hAnsi="宋体" w:cs="宋体" w:hint="eastAsia"/>
          <w:b/>
          <w:bCs/>
          <w:color w:val="252525"/>
          <w:kern w:val="0"/>
          <w:sz w:val="32"/>
          <w:szCs w:val="32"/>
        </w:rPr>
        <w:t>关于完善石脑油 燃料油生产乙烯 芳烃类</w:t>
      </w:r>
      <w:r w:rsidRPr="002151F5">
        <w:rPr>
          <w:rFonts w:ascii="宋体" w:eastAsia="宋体" w:hAnsi="宋体" w:cs="宋体" w:hint="eastAsia"/>
          <w:b/>
          <w:bCs/>
          <w:color w:val="252525"/>
          <w:kern w:val="0"/>
          <w:sz w:val="32"/>
          <w:szCs w:val="32"/>
        </w:rPr>
        <w:br/>
        <w:t>化工产品消费税退税政策的通知</w:t>
      </w:r>
      <w:r w:rsidRPr="002151F5">
        <w:rPr>
          <w:rFonts w:ascii="宋体" w:eastAsia="宋体" w:hAnsi="宋体" w:cs="宋体" w:hint="eastAsia"/>
          <w:color w:val="252525"/>
          <w:kern w:val="0"/>
          <w:szCs w:val="21"/>
        </w:rPr>
        <w:br/>
        <w:t>财税〔2013〕2号</w:t>
      </w:r>
    </w:p>
    <w:p w:rsidR="002151F5" w:rsidRDefault="002151F5" w:rsidP="002151F5">
      <w:pPr>
        <w:widowControl/>
        <w:shd w:val="clear" w:color="auto" w:fill="FFFFFF"/>
        <w:spacing w:before="390" w:after="390" w:line="360" w:lineRule="atLeast"/>
        <w:ind w:firstLine="480"/>
        <w:rPr>
          <w:rFonts w:ascii="宋体" w:eastAsia="宋体" w:hAnsi="宋体" w:cs="宋体" w:hint="eastAsia"/>
          <w:color w:val="252525"/>
          <w:kern w:val="0"/>
          <w:szCs w:val="21"/>
        </w:rPr>
      </w:pPr>
      <w:r w:rsidRPr="002151F5">
        <w:rPr>
          <w:rFonts w:ascii="宋体" w:eastAsia="宋体" w:hAnsi="宋体" w:cs="宋体" w:hint="eastAsia"/>
          <w:color w:val="252525"/>
          <w:kern w:val="0"/>
          <w:szCs w:val="21"/>
        </w:rPr>
        <w:t>各省、自治区、直辖市、计划单列市财政厅（局）、国家税务局，中国人民银行上海总部，各分行、营业管理部，省会（首府）城市中心支行，大连、青岛、宁波、</w:t>
      </w:r>
      <w:bookmarkStart w:id="0" w:name="_GoBack"/>
      <w:bookmarkEnd w:id="0"/>
      <w:r w:rsidRPr="002151F5">
        <w:rPr>
          <w:rFonts w:ascii="宋体" w:eastAsia="宋体" w:hAnsi="宋体" w:cs="宋体" w:hint="eastAsia"/>
          <w:color w:val="252525"/>
          <w:kern w:val="0"/>
          <w:szCs w:val="21"/>
        </w:rPr>
        <w:t>厦门、深圳市中心支行，海关总署广东分署、各直属海关，新疆生产建设兵团财务局：</w:t>
      </w:r>
      <w:r w:rsidRPr="002151F5">
        <w:rPr>
          <w:rFonts w:ascii="宋体" w:eastAsia="宋体" w:hAnsi="宋体" w:cs="宋体" w:hint="eastAsia"/>
          <w:color w:val="252525"/>
          <w:kern w:val="0"/>
          <w:szCs w:val="21"/>
        </w:rPr>
        <w:br/>
        <w:t xml:space="preserve">　　为规范石脑油、燃料油消费税退税政策，现将《财政部 中国人民银行 国家税务总局关于延续执行部分石脑油 燃料油消费税政策的通知》（财税〔2011〕87号）中的成品油消费税退税政策调整如下：</w:t>
      </w:r>
      <w:r w:rsidRPr="002151F5">
        <w:rPr>
          <w:rFonts w:ascii="宋体" w:eastAsia="宋体" w:hAnsi="宋体" w:cs="宋体" w:hint="eastAsia"/>
          <w:color w:val="252525"/>
          <w:kern w:val="0"/>
          <w:szCs w:val="21"/>
        </w:rPr>
        <w:br/>
        <w:t xml:space="preserve">　　一、我国境内使用石脑油、燃料油（以下简称油品）生产乙烯、芳烃类化工产品（以下简称化工产品）的企业（以下简称使用企业），仅以自营或委托方式进口油品生产化工产品，向进口消费税纳税地海关（以下简称海关）申请退还已缴纳的消费税（以下简称退税）。</w:t>
      </w:r>
      <w:r w:rsidRPr="002151F5">
        <w:rPr>
          <w:rFonts w:ascii="宋体" w:eastAsia="宋体" w:hAnsi="宋体" w:cs="宋体" w:hint="eastAsia"/>
          <w:color w:val="252525"/>
          <w:kern w:val="0"/>
          <w:szCs w:val="21"/>
        </w:rPr>
        <w:br/>
        <w:t xml:space="preserve">　　办理退税时，海关根据使用企业生产化工产品实际耗用的油品数量核定应退税金额，开具收入退还书，使用“进口成品油消费税退税”科目（101020221）退税。</w:t>
      </w:r>
      <w:r w:rsidRPr="002151F5">
        <w:rPr>
          <w:rFonts w:ascii="宋体" w:eastAsia="宋体" w:hAnsi="宋体" w:cs="宋体" w:hint="eastAsia"/>
          <w:color w:val="252525"/>
          <w:kern w:val="0"/>
          <w:szCs w:val="21"/>
        </w:rPr>
        <w:br/>
        <w:t xml:space="preserve">　　二、使用企业仅以国产油品生产化工产品，向主管税务机关（以下简称税务机关）申请退税。</w:t>
      </w:r>
      <w:r w:rsidRPr="002151F5">
        <w:rPr>
          <w:rFonts w:ascii="宋体" w:eastAsia="宋体" w:hAnsi="宋体" w:cs="宋体" w:hint="eastAsia"/>
          <w:color w:val="252525"/>
          <w:kern w:val="0"/>
          <w:szCs w:val="21"/>
        </w:rPr>
        <w:br/>
        <w:t xml:space="preserve">　　办理退税时，税务机关根据使用企业生产化工产品实际耗用的油品数量核定应退税金额，开具收入退还书，使用“成品油消费税退税”科目（101020121）退税。</w:t>
      </w:r>
      <w:r w:rsidRPr="002151F5">
        <w:rPr>
          <w:rFonts w:ascii="宋体" w:eastAsia="宋体" w:hAnsi="宋体" w:cs="宋体" w:hint="eastAsia"/>
          <w:color w:val="252525"/>
          <w:kern w:val="0"/>
          <w:szCs w:val="21"/>
        </w:rPr>
        <w:br/>
        <w:t xml:space="preserve">　　三、使用企业既购进国产油品又购进进口油品生产化工产品的，应分别核算国产与进口油品的购进量及其用于生产化工产品的实际耗用量，向税务机关提出退税申请。</w:t>
      </w:r>
      <w:r w:rsidRPr="002151F5">
        <w:rPr>
          <w:rFonts w:ascii="宋体" w:eastAsia="宋体" w:hAnsi="宋体" w:cs="宋体" w:hint="eastAsia"/>
          <w:color w:val="252525"/>
          <w:kern w:val="0"/>
          <w:szCs w:val="21"/>
        </w:rPr>
        <w:br/>
        <w:t xml:space="preserve">　　税务机关负责对企业退税资料进行审核。对国产油品退税，按照本通知第二条第二款办理。对进口油品退税，税务机关出具初审意见，连同进口货物报关单、海关专用缴款书和自动进口许可证等材料，送交海关复审。海关按照本通知第一条第二款办理。</w:t>
      </w:r>
      <w:r w:rsidRPr="002151F5">
        <w:rPr>
          <w:rFonts w:ascii="宋体" w:eastAsia="宋体" w:hAnsi="宋体" w:cs="宋体" w:hint="eastAsia"/>
          <w:color w:val="252525"/>
          <w:kern w:val="0"/>
          <w:szCs w:val="21"/>
        </w:rPr>
        <w:br/>
        <w:t xml:space="preserve">　　使用企业未分别核算国产与进口油品的购进量和实际耗用量的，不予办理退税。</w:t>
      </w:r>
      <w:r w:rsidRPr="002151F5">
        <w:rPr>
          <w:rFonts w:ascii="宋体" w:eastAsia="宋体" w:hAnsi="宋体" w:cs="宋体" w:hint="eastAsia"/>
          <w:color w:val="252525"/>
          <w:kern w:val="0"/>
          <w:szCs w:val="21"/>
        </w:rPr>
        <w:br/>
        <w:t xml:space="preserve">　　四、税务机关和海关应向相关国库部门提供收入退还书，后附退税审批表、退税申请书等相关资料；国库部门经审核无误后，从相应预算科目中退付税款给申请企业。</w:t>
      </w:r>
      <w:r w:rsidRPr="002151F5">
        <w:rPr>
          <w:rFonts w:ascii="宋体" w:eastAsia="宋体" w:hAnsi="宋体" w:cs="宋体" w:hint="eastAsia"/>
          <w:color w:val="252525"/>
          <w:kern w:val="0"/>
          <w:szCs w:val="21"/>
        </w:rPr>
        <w:br/>
        <w:t xml:space="preserve">　　五、税务机关和海关应加强合作，及时交换与退税相关的信息。</w:t>
      </w:r>
      <w:r w:rsidRPr="002151F5">
        <w:rPr>
          <w:rFonts w:ascii="宋体" w:eastAsia="宋体" w:hAnsi="宋体" w:cs="宋体" w:hint="eastAsia"/>
          <w:color w:val="252525"/>
          <w:kern w:val="0"/>
          <w:szCs w:val="21"/>
        </w:rPr>
        <w:br/>
        <w:t xml:space="preserve">　　六、本通知自下发之日起执行。财税〔2011〕87号文件与本通知不一致的，按本通知执行。税务机关此前已办理退税的，不予调整。未办理退税的，按照本通知规定办理。</w:t>
      </w:r>
    </w:p>
    <w:p w:rsidR="002151F5" w:rsidRPr="002151F5" w:rsidRDefault="002151F5" w:rsidP="002151F5">
      <w:pPr>
        <w:widowControl/>
        <w:shd w:val="clear" w:color="auto" w:fill="FFFFFF"/>
        <w:spacing w:before="390" w:after="390" w:line="360" w:lineRule="atLeast"/>
        <w:ind w:firstLine="480"/>
        <w:rPr>
          <w:rFonts w:ascii="宋体" w:eastAsia="宋体" w:hAnsi="宋体" w:cs="宋体" w:hint="eastAsia"/>
          <w:color w:val="252525"/>
          <w:kern w:val="0"/>
          <w:szCs w:val="21"/>
        </w:rPr>
      </w:pPr>
      <w:r w:rsidRPr="002151F5">
        <w:rPr>
          <w:rFonts w:ascii="宋体" w:eastAsia="宋体" w:hAnsi="宋体" w:cs="宋体" w:hint="eastAsia"/>
          <w:color w:val="252525"/>
          <w:kern w:val="0"/>
          <w:szCs w:val="21"/>
        </w:rPr>
        <w:br/>
        <w:t xml:space="preserve">　　　　　　　　　　　　　　　财政部 中国人民银行 海关总署 国家税务总局</w:t>
      </w:r>
      <w:r w:rsidRPr="002151F5">
        <w:rPr>
          <w:rFonts w:ascii="宋体" w:eastAsia="宋体" w:hAnsi="宋体" w:cs="宋体" w:hint="eastAsia"/>
          <w:color w:val="252525"/>
          <w:kern w:val="0"/>
          <w:szCs w:val="21"/>
        </w:rPr>
        <w:br/>
      </w:r>
      <w:proofErr w:type="gramStart"/>
      <w:r w:rsidRPr="002151F5">
        <w:rPr>
          <w:rFonts w:ascii="宋体" w:eastAsia="宋体" w:hAnsi="宋体" w:cs="宋体" w:hint="eastAsia"/>
          <w:color w:val="252525"/>
          <w:kern w:val="0"/>
          <w:szCs w:val="21"/>
        </w:rPr>
        <w:t xml:space="preserve">　　　　　　　　　　　　　　　　　　　　　　</w:t>
      </w:r>
      <w:proofErr w:type="gramEnd"/>
      <w:r w:rsidRPr="002151F5">
        <w:rPr>
          <w:rFonts w:ascii="宋体" w:eastAsia="宋体" w:hAnsi="宋体" w:cs="宋体" w:hint="eastAsia"/>
          <w:color w:val="252525"/>
          <w:kern w:val="0"/>
          <w:szCs w:val="21"/>
        </w:rPr>
        <w:t>2013年2月1日</w:t>
      </w:r>
    </w:p>
    <w:p w:rsidR="00B756AC" w:rsidRPr="002151F5" w:rsidRDefault="00B756AC">
      <w:pPr>
        <w:rPr>
          <w:rFonts w:hint="eastAsia"/>
        </w:rPr>
      </w:pPr>
    </w:p>
    <w:sectPr w:rsidR="00B756AC" w:rsidRPr="00215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1"/>
    <w:rsid w:val="002151F5"/>
    <w:rsid w:val="003D5B71"/>
    <w:rsid w:val="00B7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51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5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18571">
      <w:bodyDiv w:val="1"/>
      <w:marLeft w:val="0"/>
      <w:marRight w:val="0"/>
      <w:marTop w:val="0"/>
      <w:marBottom w:val="0"/>
      <w:divBdr>
        <w:top w:val="none" w:sz="0" w:space="0" w:color="auto"/>
        <w:left w:val="none" w:sz="0" w:space="0" w:color="auto"/>
        <w:bottom w:val="none" w:sz="0" w:space="0" w:color="auto"/>
        <w:right w:val="none" w:sz="0" w:space="0" w:color="auto"/>
      </w:divBdr>
      <w:divsChild>
        <w:div w:id="2137676508">
          <w:marLeft w:val="0"/>
          <w:marRight w:val="0"/>
          <w:marTop w:val="0"/>
          <w:marBottom w:val="0"/>
          <w:divBdr>
            <w:top w:val="none" w:sz="0" w:space="0" w:color="auto"/>
            <w:left w:val="none" w:sz="0" w:space="0" w:color="auto"/>
            <w:bottom w:val="none" w:sz="0" w:space="0" w:color="auto"/>
            <w:right w:val="none" w:sz="0" w:space="0" w:color="auto"/>
          </w:divBdr>
          <w:divsChild>
            <w:div w:id="735012244">
              <w:marLeft w:val="0"/>
              <w:marRight w:val="0"/>
              <w:marTop w:val="0"/>
              <w:marBottom w:val="0"/>
              <w:divBdr>
                <w:top w:val="none" w:sz="0" w:space="0" w:color="auto"/>
                <w:left w:val="none" w:sz="0" w:space="0" w:color="auto"/>
                <w:bottom w:val="none" w:sz="0" w:space="0" w:color="auto"/>
                <w:right w:val="none" w:sz="0" w:space="0" w:color="auto"/>
              </w:divBdr>
              <w:divsChild>
                <w:div w:id="1642537230">
                  <w:marLeft w:val="0"/>
                  <w:marRight w:val="0"/>
                  <w:marTop w:val="0"/>
                  <w:marBottom w:val="0"/>
                  <w:divBdr>
                    <w:top w:val="none" w:sz="0" w:space="0" w:color="auto"/>
                    <w:left w:val="none" w:sz="0" w:space="0" w:color="auto"/>
                    <w:bottom w:val="none" w:sz="0" w:space="0" w:color="auto"/>
                    <w:right w:val="none" w:sz="0" w:space="0" w:color="auto"/>
                  </w:divBdr>
                  <w:divsChild>
                    <w:div w:id="13790844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2013-08-13T07:46:00Z</dcterms:created>
  <dcterms:modified xsi:type="dcterms:W3CDTF">2013-08-13T07:47:00Z</dcterms:modified>
</cp:coreProperties>
</file>