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02" w:rsidRDefault="00AD4802">
      <w:pPr>
        <w:rPr>
          <w:rFonts w:ascii="黑体" w:eastAsia="黑体" w:hAnsi="ˎ̥" w:cs="宋体" w:hint="eastAsia"/>
          <w:kern w:val="0"/>
          <w:sz w:val="24"/>
          <w:szCs w:val="24"/>
        </w:rPr>
      </w:pPr>
      <w:r w:rsidRPr="00AD4802">
        <w:rPr>
          <w:rFonts w:ascii="黑体" w:eastAsia="黑体" w:hAnsi="ˎ̥" w:cs="宋体"/>
          <w:kern w:val="0"/>
          <w:sz w:val="24"/>
          <w:szCs w:val="24"/>
        </w:rPr>
        <w:t>国家税务总局关于消费税有关政策问题补充规定的公告</w:t>
      </w:r>
    </w:p>
    <w:p w:rsidR="00AD4802" w:rsidRDefault="00AD4802">
      <w:pPr>
        <w:rPr>
          <w:rFonts w:hint="eastAsia"/>
        </w:rPr>
      </w:pPr>
      <w:r w:rsidRPr="00AD4802">
        <w:rPr>
          <w:rFonts w:ascii="黑体" w:eastAsia="黑体" w:hAnsi="ˎ̥" w:cs="宋体"/>
          <w:kern w:val="0"/>
          <w:sz w:val="24"/>
          <w:szCs w:val="24"/>
        </w:rPr>
        <w:t>（国家税务总局公告2013年第50号）</w:t>
      </w:r>
    </w:p>
    <w:p w:rsidR="00AD4802" w:rsidRDefault="00AD4802">
      <w:pPr>
        <w:rPr>
          <w:rFonts w:hint="eastAsia"/>
        </w:rPr>
      </w:pPr>
      <w:r w:rsidRPr="00AD4802">
        <w:rPr>
          <w:rFonts w:ascii="ˎ̥" w:eastAsia="宋体" w:hAnsi="ˎ̥" w:cs="宋体"/>
          <w:color w:val="666666"/>
          <w:kern w:val="0"/>
          <w:sz w:val="18"/>
          <w:szCs w:val="18"/>
        </w:rPr>
        <w:t>发布日期：</w:t>
      </w:r>
      <w:r w:rsidRPr="00AD4802">
        <w:rPr>
          <w:rFonts w:ascii="ˎ̥" w:eastAsia="宋体" w:hAnsi="ˎ̥" w:cs="宋体"/>
          <w:color w:val="666666"/>
          <w:kern w:val="0"/>
          <w:sz w:val="18"/>
          <w:szCs w:val="18"/>
        </w:rPr>
        <w:t xml:space="preserve">2013-09-22 14:37:00 </w:t>
      </w:r>
      <w:r w:rsidRPr="00AD4802">
        <w:rPr>
          <w:rFonts w:ascii="ˎ̥" w:eastAsia="宋体" w:hAnsi="ˎ̥" w:cs="宋体"/>
          <w:color w:val="666666"/>
          <w:kern w:val="0"/>
          <w:sz w:val="18"/>
          <w:szCs w:val="18"/>
        </w:rPr>
        <w:t>作者：</w:t>
      </w:r>
      <w:r w:rsidRPr="00AD4802">
        <w:rPr>
          <w:rFonts w:ascii="ˎ̥" w:eastAsia="宋体" w:hAnsi="ˎ̥" w:cs="宋体"/>
          <w:color w:val="666666"/>
          <w:kern w:val="0"/>
          <w:sz w:val="18"/>
          <w:szCs w:val="18"/>
        </w:rPr>
        <w:t xml:space="preserve"> </w:t>
      </w:r>
      <w:r w:rsidRPr="00AD4802">
        <w:rPr>
          <w:rFonts w:ascii="ˎ̥" w:eastAsia="宋体" w:hAnsi="ˎ̥" w:cs="宋体"/>
          <w:color w:val="666666"/>
          <w:kern w:val="0"/>
          <w:sz w:val="18"/>
          <w:szCs w:val="18"/>
        </w:rPr>
        <w:t>来源：国家税务总局</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现对《国家税务总局关于消费税有关政策问题的公告》（国家税务总局公告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号）有关问题补充规定如下：</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一、国家税务总局公告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号第一条和第二条所称</w:t>
      </w:r>
      <w:r w:rsidRPr="00AD4802">
        <w:rPr>
          <w:rFonts w:ascii="ˎ̥" w:eastAsia="宋体" w:hAnsi="ˎ̥" w:cs="宋体"/>
          <w:kern w:val="0"/>
          <w:sz w:val="18"/>
          <w:szCs w:val="18"/>
        </w:rPr>
        <w:t>“</w:t>
      </w:r>
      <w:r w:rsidRPr="00AD4802">
        <w:rPr>
          <w:rFonts w:ascii="ˎ̥" w:eastAsia="宋体" w:hAnsi="ˎ̥" w:cs="宋体"/>
          <w:kern w:val="0"/>
          <w:sz w:val="18"/>
          <w:szCs w:val="18"/>
        </w:rPr>
        <w:t>其他原料</w:t>
      </w:r>
      <w:r w:rsidRPr="00AD4802">
        <w:rPr>
          <w:rFonts w:ascii="ˎ̥" w:eastAsia="宋体" w:hAnsi="ˎ̥" w:cs="宋体"/>
          <w:kern w:val="0"/>
          <w:sz w:val="18"/>
          <w:szCs w:val="18"/>
        </w:rPr>
        <w:t>”</w:t>
      </w:r>
      <w:r w:rsidRPr="00AD4802">
        <w:rPr>
          <w:rFonts w:ascii="ˎ̥" w:eastAsia="宋体" w:hAnsi="ˎ̥" w:cs="宋体"/>
          <w:kern w:val="0"/>
          <w:sz w:val="18"/>
          <w:szCs w:val="18"/>
        </w:rPr>
        <w:t>是指除原油以外可用于生产加工成品油的各种原料。</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二、纳税人生产加工符合国家税务总局公告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号第一条第（一）项规定的产品，无论以何种名称对外销售或用于非连续生产应征消费税产品，均应按规定缴纳消费税。</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三、国家税务总局公告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号第一条第（二）项所称</w:t>
      </w:r>
      <w:r w:rsidRPr="00AD4802">
        <w:rPr>
          <w:rFonts w:ascii="ˎ̥" w:eastAsia="宋体" w:hAnsi="ˎ̥" w:cs="宋体"/>
          <w:kern w:val="0"/>
          <w:sz w:val="18"/>
          <w:szCs w:val="18"/>
        </w:rPr>
        <w:t>“</w:t>
      </w:r>
      <w:r w:rsidRPr="00AD4802">
        <w:rPr>
          <w:rFonts w:ascii="ˎ̥" w:eastAsia="宋体" w:hAnsi="ˎ̥" w:cs="宋体"/>
          <w:kern w:val="0"/>
          <w:sz w:val="18"/>
          <w:szCs w:val="18"/>
        </w:rPr>
        <w:t>本条第（一）项规定以外的产品</w:t>
      </w:r>
      <w:r w:rsidRPr="00AD4802">
        <w:rPr>
          <w:rFonts w:ascii="ˎ̥" w:eastAsia="宋体" w:hAnsi="ˎ̥" w:cs="宋体"/>
          <w:kern w:val="0"/>
          <w:sz w:val="18"/>
          <w:szCs w:val="18"/>
        </w:rPr>
        <w:t>”</w:t>
      </w:r>
      <w:r w:rsidRPr="00AD4802">
        <w:rPr>
          <w:rFonts w:ascii="ˎ̥" w:eastAsia="宋体" w:hAnsi="ˎ̥" w:cs="宋体"/>
          <w:kern w:val="0"/>
          <w:sz w:val="18"/>
          <w:szCs w:val="18"/>
        </w:rPr>
        <w:t>是指产品名称虽不属于成品油消费税税目列举的范围，但外观形态与应税成品</w:t>
      </w:r>
      <w:proofErr w:type="gramStart"/>
      <w:r w:rsidRPr="00AD4802">
        <w:rPr>
          <w:rFonts w:ascii="ˎ̥" w:eastAsia="宋体" w:hAnsi="ˎ̥" w:cs="宋体"/>
          <w:kern w:val="0"/>
          <w:sz w:val="18"/>
          <w:szCs w:val="18"/>
        </w:rPr>
        <w:t>油相同</w:t>
      </w:r>
      <w:proofErr w:type="gramEnd"/>
      <w:r w:rsidRPr="00AD4802">
        <w:rPr>
          <w:rFonts w:ascii="ˎ̥" w:eastAsia="宋体" w:hAnsi="ˎ̥" w:cs="宋体"/>
          <w:kern w:val="0"/>
          <w:sz w:val="18"/>
          <w:szCs w:val="18"/>
        </w:rPr>
        <w:t>或相近，且主要原料可用于生产加工应税成品油的产品。</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前款所称产品不包括：</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（一）环境保护部发布《中国现有化学物质名录》中列明分子式的产品和纳税人取得环境保护部颁发的《新化学物质环境管理登记证》中列名的产品；</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（二）纳税人取得省级（含）以上质量技术监督部门颁发的《全国工业产品生产许可证》中除产品名称注明为</w:t>
      </w:r>
      <w:r w:rsidRPr="00AD4802">
        <w:rPr>
          <w:rFonts w:ascii="ˎ̥" w:eastAsia="宋体" w:hAnsi="ˎ̥" w:cs="宋体"/>
          <w:kern w:val="0"/>
          <w:sz w:val="18"/>
          <w:szCs w:val="18"/>
        </w:rPr>
        <w:t>“</w:t>
      </w:r>
      <w:r w:rsidRPr="00AD4802">
        <w:rPr>
          <w:rFonts w:ascii="ˎ̥" w:eastAsia="宋体" w:hAnsi="ˎ̥" w:cs="宋体"/>
          <w:kern w:val="0"/>
          <w:sz w:val="18"/>
          <w:szCs w:val="18"/>
        </w:rPr>
        <w:t>石油产品</w:t>
      </w:r>
      <w:r w:rsidRPr="00AD4802">
        <w:rPr>
          <w:rFonts w:ascii="ˎ̥" w:eastAsia="宋体" w:hAnsi="ˎ̥" w:cs="宋体"/>
          <w:kern w:val="0"/>
          <w:sz w:val="18"/>
          <w:szCs w:val="18"/>
        </w:rPr>
        <w:t>”</w:t>
      </w:r>
      <w:r w:rsidRPr="00AD4802">
        <w:rPr>
          <w:rFonts w:ascii="ˎ̥" w:eastAsia="宋体" w:hAnsi="ˎ̥" w:cs="宋体"/>
          <w:kern w:val="0"/>
          <w:sz w:val="18"/>
          <w:szCs w:val="18"/>
        </w:rPr>
        <w:t>外的各明细产品。</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本条第一款规定的产品，如根据国家标准、行业标准或其他方法可以确认属于应征消费税的产品，适用本公告第二条规定。</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四、国家税务总局公告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号第二条所称</w:t>
      </w:r>
      <w:r w:rsidRPr="00AD4802">
        <w:rPr>
          <w:rFonts w:ascii="ˎ̥" w:eastAsia="宋体" w:hAnsi="ˎ̥" w:cs="宋体"/>
          <w:kern w:val="0"/>
          <w:sz w:val="18"/>
          <w:szCs w:val="18"/>
        </w:rPr>
        <w:t>“</w:t>
      </w:r>
      <w:r w:rsidRPr="00AD4802">
        <w:rPr>
          <w:rFonts w:ascii="ˎ̥" w:eastAsia="宋体" w:hAnsi="ˎ̥" w:cs="宋体"/>
          <w:kern w:val="0"/>
          <w:sz w:val="18"/>
          <w:szCs w:val="18"/>
        </w:rPr>
        <w:t>纳税人以原油或其他原料生产加工的产品</w:t>
      </w:r>
      <w:r w:rsidRPr="00AD4802">
        <w:rPr>
          <w:rFonts w:ascii="ˎ̥" w:eastAsia="宋体" w:hAnsi="ˎ̥" w:cs="宋体"/>
          <w:kern w:val="0"/>
          <w:sz w:val="18"/>
          <w:szCs w:val="18"/>
        </w:rPr>
        <w:t>”</w:t>
      </w:r>
      <w:r w:rsidRPr="00AD4802">
        <w:rPr>
          <w:rFonts w:ascii="ˎ̥" w:eastAsia="宋体" w:hAnsi="ˎ̥" w:cs="宋体"/>
          <w:kern w:val="0"/>
          <w:sz w:val="18"/>
          <w:szCs w:val="18"/>
        </w:rPr>
        <w:t>是指常温常压状态下呈暗褐色或黑色的液态或半固态产品。</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其他呈液态</w:t>
      </w:r>
      <w:proofErr w:type="gramStart"/>
      <w:r w:rsidRPr="00AD4802">
        <w:rPr>
          <w:rFonts w:ascii="ˎ̥" w:eastAsia="宋体" w:hAnsi="ˎ̥" w:cs="宋体"/>
          <w:kern w:val="0"/>
          <w:sz w:val="18"/>
          <w:szCs w:val="18"/>
        </w:rPr>
        <w:t>状产品</w:t>
      </w:r>
      <w:proofErr w:type="gramEnd"/>
      <w:r w:rsidRPr="00AD4802">
        <w:rPr>
          <w:rFonts w:ascii="ˎ̥" w:eastAsia="宋体" w:hAnsi="ˎ̥" w:cs="宋体"/>
          <w:kern w:val="0"/>
          <w:sz w:val="18"/>
          <w:szCs w:val="18"/>
        </w:rPr>
        <w:t>以沥青名称对外销售或用于非连续生产应征消费税产品，适用国家税务总局公告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号第一条和本公告第三条规定。</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沥青产品的行业标准，包括石油化工以及交通、建筑、电力等行业适用的行业性标准。</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五、国家税务总局公告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号所称</w:t>
      </w:r>
      <w:r w:rsidRPr="00AD4802">
        <w:rPr>
          <w:rFonts w:ascii="ˎ̥" w:eastAsia="宋体" w:hAnsi="ˎ̥" w:cs="宋体"/>
          <w:kern w:val="0"/>
          <w:sz w:val="18"/>
          <w:szCs w:val="18"/>
        </w:rPr>
        <w:t>“</w:t>
      </w:r>
      <w:r w:rsidRPr="00AD4802">
        <w:rPr>
          <w:rFonts w:ascii="ˎ̥" w:eastAsia="宋体" w:hAnsi="ˎ̥" w:cs="宋体"/>
          <w:kern w:val="0"/>
          <w:sz w:val="18"/>
          <w:szCs w:val="18"/>
        </w:rPr>
        <w:t>相关产品质量检验证明</w:t>
      </w:r>
      <w:r w:rsidRPr="00AD4802">
        <w:rPr>
          <w:rFonts w:ascii="ˎ̥" w:eastAsia="宋体" w:hAnsi="ˎ̥" w:cs="宋体"/>
          <w:kern w:val="0"/>
          <w:sz w:val="18"/>
          <w:szCs w:val="18"/>
        </w:rPr>
        <w:t>”</w:t>
      </w:r>
      <w:r w:rsidRPr="00AD4802">
        <w:rPr>
          <w:rFonts w:ascii="ˎ̥" w:eastAsia="宋体" w:hAnsi="ˎ̥" w:cs="宋体"/>
          <w:kern w:val="0"/>
          <w:sz w:val="18"/>
          <w:szCs w:val="18"/>
        </w:rPr>
        <w:t>是指经国家认证认可监督管理委员会或省级质量技术监督部门依法授予实验室资质认定的检测机构出具的相关产品达到国家或行业标准的检验证明，且该检测机构对相关产品的检测能力在其资质认定证书附表规定的范围之内。</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纳税人委托检测机构对相关产品进行检验的项目应为该产品国家或行业标准中列明的全部项目。在向主管税务机关提交检验证明备案时，应一并提供受检产品的国家或行业标准以及检测机构具备检测资质和该产品检测能力的证明材料，包括资质认定证书及检测能力附表复印件等。</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lastRenderedPageBreak/>
        <w:t xml:space="preserve">　　本省（自治区、直辖市、计划单列市，以下简称省市）范围内的检测机构对相关产品不能检验的，纳税人可委托其他省市符合条件的检测机构对产品进行检验，并按前款规定提供产品检验证明和检测机构资质能力证明等材料。</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六、对国家税务总局公告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号和本公告规定可不提供检验证明或已提供检验证明而不缴纳消费税的产品，税务机关可根据需要组织进行抽检，核实纳税人实际生产加工的产品是否符合不征收消费税的规定。</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七、纳税人发生下列情形之一且未缴纳消费税的，主管税务机关应依法补征税款并予以相应处理：</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（一）应提供而未提供检验证明；</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（二）</w:t>
      </w:r>
      <w:proofErr w:type="gramStart"/>
      <w:r w:rsidRPr="00AD4802">
        <w:rPr>
          <w:rFonts w:ascii="ˎ̥" w:eastAsia="宋体" w:hAnsi="ˎ̥" w:cs="宋体"/>
          <w:kern w:val="0"/>
          <w:sz w:val="18"/>
          <w:szCs w:val="18"/>
        </w:rPr>
        <w:t>虽提供</w:t>
      </w:r>
      <w:proofErr w:type="gramEnd"/>
      <w:r w:rsidRPr="00AD4802">
        <w:rPr>
          <w:rFonts w:ascii="ˎ̥" w:eastAsia="宋体" w:hAnsi="ˎ̥" w:cs="宋体"/>
          <w:kern w:val="0"/>
          <w:sz w:val="18"/>
          <w:szCs w:val="18"/>
        </w:rPr>
        <w:t>检验证明，但实际生产加工的产品不符合检验证明所依据的国家或行业标准。</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八、下列产品准予按规定从消费税应纳税额中扣除其原料已纳的消费税税款，但可享受原料所含消费税退税政策的产品除外：</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（一）按国家税务总局公告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号和本公告规定视同石脑油、燃料油缴纳消费税的产品；</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（二）以外购或委托加工收回本条第（一）项规定的产品为原料生产的应税消费品；</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（三）按国家税务总局公告</w:t>
      </w:r>
      <w:r w:rsidRPr="00AD4802">
        <w:rPr>
          <w:rFonts w:ascii="ˎ̥" w:eastAsia="宋体" w:hAnsi="ˎ̥" w:cs="宋体"/>
          <w:kern w:val="0"/>
          <w:sz w:val="18"/>
          <w:szCs w:val="18"/>
        </w:rPr>
        <w:t>2012</w:t>
      </w:r>
      <w:r w:rsidRPr="00AD4802">
        <w:rPr>
          <w:rFonts w:ascii="ˎ̥" w:eastAsia="宋体" w:hAnsi="ˎ̥" w:cs="宋体"/>
          <w:kern w:val="0"/>
          <w:sz w:val="18"/>
          <w:szCs w:val="18"/>
        </w:rPr>
        <w:t>年第</w:t>
      </w:r>
      <w:r w:rsidRPr="00AD4802">
        <w:rPr>
          <w:rFonts w:ascii="ˎ̥" w:eastAsia="宋体" w:hAnsi="ˎ̥" w:cs="宋体"/>
          <w:kern w:val="0"/>
          <w:sz w:val="18"/>
          <w:szCs w:val="18"/>
        </w:rPr>
        <w:t>47</w:t>
      </w:r>
      <w:r w:rsidRPr="00AD4802">
        <w:rPr>
          <w:rFonts w:ascii="ˎ̥" w:eastAsia="宋体" w:hAnsi="ˎ̥" w:cs="宋体"/>
          <w:kern w:val="0"/>
          <w:sz w:val="18"/>
          <w:szCs w:val="18"/>
        </w:rPr>
        <w:t>号第三条第（二）项规定缴纳消费税的产品。</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九、纳税人生产、销售或受托加工本公告第八条第（一）项规定的产品，应在向购货方或委托方开具的增值税专用发票品名后注明</w:t>
      </w:r>
      <w:r w:rsidRPr="00AD4802">
        <w:rPr>
          <w:rFonts w:ascii="ˎ̥" w:eastAsia="宋体" w:hAnsi="ˎ̥" w:cs="宋体"/>
          <w:kern w:val="0"/>
          <w:sz w:val="18"/>
          <w:szCs w:val="18"/>
        </w:rPr>
        <w:t>“</w:t>
      </w:r>
      <w:r w:rsidRPr="00AD4802">
        <w:rPr>
          <w:rFonts w:ascii="ˎ̥" w:eastAsia="宋体" w:hAnsi="ˎ̥" w:cs="宋体"/>
          <w:kern w:val="0"/>
          <w:sz w:val="18"/>
          <w:szCs w:val="18"/>
        </w:rPr>
        <w:t>视同石脑油（或燃料油）</w:t>
      </w:r>
      <w:r w:rsidRPr="00AD4802">
        <w:rPr>
          <w:rFonts w:ascii="ˎ̥" w:eastAsia="宋体" w:hAnsi="ˎ̥" w:cs="宋体"/>
          <w:kern w:val="0"/>
          <w:sz w:val="18"/>
          <w:szCs w:val="18"/>
        </w:rPr>
        <w:t>”</w:t>
      </w:r>
      <w:r w:rsidRPr="00AD4802">
        <w:rPr>
          <w:rFonts w:ascii="ˎ̥" w:eastAsia="宋体" w:hAnsi="ˎ̥" w:cs="宋体"/>
          <w:kern w:val="0"/>
          <w:sz w:val="18"/>
          <w:szCs w:val="18"/>
        </w:rPr>
        <w:t>或</w:t>
      </w:r>
      <w:r w:rsidRPr="00AD4802">
        <w:rPr>
          <w:rFonts w:ascii="ˎ̥" w:eastAsia="宋体" w:hAnsi="ˎ̥" w:cs="宋体"/>
          <w:kern w:val="0"/>
          <w:sz w:val="18"/>
          <w:szCs w:val="18"/>
        </w:rPr>
        <w:t>“</w:t>
      </w:r>
      <w:r w:rsidRPr="00AD4802">
        <w:rPr>
          <w:rFonts w:ascii="ˎ̥" w:eastAsia="宋体" w:hAnsi="ˎ̥" w:cs="宋体"/>
          <w:kern w:val="0"/>
          <w:sz w:val="18"/>
          <w:szCs w:val="18"/>
        </w:rPr>
        <w:t>视同石脑油（或燃料油）加工</w:t>
      </w:r>
      <w:r w:rsidRPr="00AD4802">
        <w:rPr>
          <w:rFonts w:ascii="ˎ̥" w:eastAsia="宋体" w:hAnsi="ˎ̥" w:cs="宋体"/>
          <w:kern w:val="0"/>
          <w:sz w:val="18"/>
          <w:szCs w:val="18"/>
        </w:rPr>
        <w:t>”</w:t>
      </w:r>
      <w:r w:rsidRPr="00AD4802">
        <w:rPr>
          <w:rFonts w:ascii="ˎ̥" w:eastAsia="宋体" w:hAnsi="ˎ̥" w:cs="宋体"/>
          <w:kern w:val="0"/>
          <w:sz w:val="18"/>
          <w:szCs w:val="18"/>
        </w:rPr>
        <w:t>。购货方或委托方以该产品为原料生产应税消费品，需凭上述凭证按规定办理原料已纳消费税税款的扣除手续。</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十、各地税务机关应加强消费税的日常管理和纳税评估，加大对纳税人不同名称产品销量异常变动情况的监管，并可根据需要对视同石脑油、燃料油征收消费税的产品，制定具体管理办法。</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十一、本公告自</w:t>
      </w:r>
      <w:r w:rsidRPr="00AD4802">
        <w:rPr>
          <w:rFonts w:ascii="ˎ̥" w:eastAsia="宋体" w:hAnsi="ˎ̥" w:cs="宋体"/>
          <w:kern w:val="0"/>
          <w:sz w:val="18"/>
          <w:szCs w:val="18"/>
        </w:rPr>
        <w:t>2013</w:t>
      </w:r>
      <w:r w:rsidRPr="00AD4802">
        <w:rPr>
          <w:rFonts w:ascii="ˎ̥" w:eastAsia="宋体" w:hAnsi="ˎ̥" w:cs="宋体"/>
          <w:kern w:val="0"/>
          <w:sz w:val="18"/>
          <w:szCs w:val="18"/>
        </w:rPr>
        <w:t>年</w:t>
      </w:r>
      <w:r w:rsidRPr="00AD4802">
        <w:rPr>
          <w:rFonts w:ascii="ˎ̥" w:eastAsia="宋体" w:hAnsi="ˎ̥" w:cs="宋体"/>
          <w:kern w:val="0"/>
          <w:sz w:val="18"/>
          <w:szCs w:val="18"/>
        </w:rPr>
        <w:t>1</w:t>
      </w:r>
      <w:r w:rsidRPr="00AD4802">
        <w:rPr>
          <w:rFonts w:ascii="ˎ̥" w:eastAsia="宋体" w:hAnsi="ˎ̥" w:cs="宋体"/>
          <w:kern w:val="0"/>
          <w:sz w:val="18"/>
          <w:szCs w:val="18"/>
        </w:rPr>
        <w:t>月</w:t>
      </w:r>
      <w:r w:rsidRPr="00AD4802">
        <w:rPr>
          <w:rFonts w:ascii="ˎ̥" w:eastAsia="宋体" w:hAnsi="ˎ̥" w:cs="宋体"/>
          <w:kern w:val="0"/>
          <w:sz w:val="18"/>
          <w:szCs w:val="18"/>
        </w:rPr>
        <w:t>1</w:t>
      </w:r>
      <w:r w:rsidRPr="00AD4802">
        <w:rPr>
          <w:rFonts w:ascii="ˎ̥" w:eastAsia="宋体" w:hAnsi="ˎ̥" w:cs="宋体"/>
          <w:kern w:val="0"/>
          <w:sz w:val="18"/>
          <w:szCs w:val="18"/>
        </w:rPr>
        <w:t>日起施行。本公告施行前，纳税人向主管税务机关提交备案的产品检验证明，如所检项目为该产品国家或行业标准中列明的全部项目，可不做调整，如所检项目仅为部分项目，需补充提供其他项目的检验证明备案，对不提供全部项目检验证明的，视同不符合该产品的国家或行业标准；对已缴纳消费税的产品，根据本公告规定不属于消费税征税范围的，纳税人可按规定申请退税或抵减以后期间的应纳消费税。</w:t>
      </w:r>
    </w:p>
    <w:p w:rsidR="00AD4802" w:rsidRPr="00AD4802" w:rsidRDefault="00AD4802" w:rsidP="00AD4802">
      <w:pPr>
        <w:widowControl/>
        <w:spacing w:before="100" w:beforeAutospacing="1" w:after="100" w:afterAutospacing="1" w:line="300" w:lineRule="atLeast"/>
        <w:jc w:val="left"/>
        <w:rPr>
          <w:rFonts w:ascii="ˎ̥" w:eastAsia="宋体" w:hAnsi="ˎ̥" w:cs="宋体"/>
          <w:kern w:val="0"/>
          <w:sz w:val="18"/>
          <w:szCs w:val="18"/>
        </w:rPr>
      </w:pPr>
      <w:r w:rsidRPr="00AD4802">
        <w:rPr>
          <w:rFonts w:ascii="ˎ̥" w:eastAsia="宋体" w:hAnsi="ˎ̥" w:cs="宋体"/>
          <w:kern w:val="0"/>
          <w:sz w:val="18"/>
          <w:szCs w:val="18"/>
        </w:rPr>
        <w:t xml:space="preserve">　　特此公告。</w:t>
      </w:r>
    </w:p>
    <w:p w:rsidR="00AD4802" w:rsidRPr="00AD4802" w:rsidRDefault="00AD4802" w:rsidP="00AD4802">
      <w:pPr>
        <w:widowControl/>
        <w:spacing w:before="100" w:beforeAutospacing="1" w:after="100" w:afterAutospacing="1" w:line="300" w:lineRule="atLeast"/>
        <w:jc w:val="right"/>
        <w:rPr>
          <w:rFonts w:ascii="ˎ̥" w:eastAsia="宋体" w:hAnsi="ˎ̥" w:cs="宋体"/>
          <w:kern w:val="0"/>
          <w:sz w:val="18"/>
          <w:szCs w:val="18"/>
        </w:rPr>
      </w:pPr>
      <w:bookmarkStart w:id="0" w:name="_GoBack"/>
      <w:bookmarkEnd w:id="0"/>
      <w:r w:rsidRPr="00AD4802">
        <w:rPr>
          <w:rFonts w:ascii="ˎ̥" w:eastAsia="宋体" w:hAnsi="ˎ̥" w:cs="宋体"/>
          <w:kern w:val="0"/>
          <w:sz w:val="18"/>
          <w:szCs w:val="18"/>
        </w:rPr>
        <w:t xml:space="preserve">　　国家税务总局</w:t>
      </w:r>
    </w:p>
    <w:p w:rsidR="00AD4802" w:rsidRDefault="00AD4802" w:rsidP="00AD4802">
      <w:pPr>
        <w:rPr>
          <w:rFonts w:hint="eastAsia"/>
        </w:rPr>
      </w:pPr>
      <w:r w:rsidRPr="00AD4802">
        <w:rPr>
          <w:rFonts w:ascii="ˎ̥" w:eastAsia="宋体" w:hAnsi="ˎ̥" w:cs="宋体"/>
          <w:kern w:val="0"/>
          <w:sz w:val="18"/>
          <w:szCs w:val="18"/>
        </w:rPr>
        <w:t xml:space="preserve">　　</w:t>
      </w:r>
      <w:r>
        <w:rPr>
          <w:rFonts w:ascii="ˎ̥" w:eastAsia="宋体" w:hAnsi="ˎ̥" w:cs="宋体" w:hint="eastAsia"/>
          <w:kern w:val="0"/>
          <w:sz w:val="18"/>
          <w:szCs w:val="18"/>
        </w:rPr>
        <w:t xml:space="preserve">                                                                         </w:t>
      </w:r>
      <w:r w:rsidRPr="00AD4802">
        <w:rPr>
          <w:rFonts w:ascii="ˎ̥" w:eastAsia="宋体" w:hAnsi="ˎ̥" w:cs="宋体"/>
          <w:kern w:val="0"/>
          <w:sz w:val="18"/>
          <w:szCs w:val="18"/>
        </w:rPr>
        <w:t>2013</w:t>
      </w:r>
      <w:r w:rsidRPr="00AD4802">
        <w:rPr>
          <w:rFonts w:ascii="ˎ̥" w:eastAsia="宋体" w:hAnsi="ˎ̥" w:cs="宋体"/>
          <w:kern w:val="0"/>
          <w:sz w:val="18"/>
          <w:szCs w:val="18"/>
        </w:rPr>
        <w:t>年</w:t>
      </w:r>
      <w:r w:rsidRPr="00AD4802">
        <w:rPr>
          <w:rFonts w:ascii="ˎ̥" w:eastAsia="宋体" w:hAnsi="ˎ̥" w:cs="宋体"/>
          <w:kern w:val="0"/>
          <w:sz w:val="18"/>
          <w:szCs w:val="18"/>
        </w:rPr>
        <w:t>9</w:t>
      </w:r>
      <w:r w:rsidRPr="00AD4802">
        <w:rPr>
          <w:rFonts w:ascii="ˎ̥" w:eastAsia="宋体" w:hAnsi="ˎ̥" w:cs="宋体"/>
          <w:kern w:val="0"/>
          <w:sz w:val="18"/>
          <w:szCs w:val="18"/>
        </w:rPr>
        <w:t>月</w:t>
      </w:r>
      <w:r w:rsidRPr="00AD4802">
        <w:rPr>
          <w:rFonts w:ascii="ˎ̥" w:eastAsia="宋体" w:hAnsi="ˎ̥" w:cs="宋体"/>
          <w:kern w:val="0"/>
          <w:sz w:val="18"/>
          <w:szCs w:val="18"/>
        </w:rPr>
        <w:t>9</w:t>
      </w:r>
      <w:r w:rsidRPr="00AD4802">
        <w:rPr>
          <w:rFonts w:ascii="ˎ̥" w:eastAsia="宋体" w:hAnsi="ˎ̥" w:cs="宋体"/>
          <w:kern w:val="0"/>
          <w:sz w:val="18"/>
          <w:szCs w:val="18"/>
        </w:rPr>
        <w:t>日</w:t>
      </w:r>
    </w:p>
    <w:p w:rsidR="00AD4802" w:rsidRDefault="00AD4802"/>
    <w:sectPr w:rsidR="00AD4802" w:rsidSect="00AD4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D2B" w:rsidRDefault="00094D2B" w:rsidP="00AD4802">
      <w:r>
        <w:separator/>
      </w:r>
    </w:p>
  </w:endnote>
  <w:endnote w:type="continuationSeparator" w:id="0">
    <w:p w:rsidR="00094D2B" w:rsidRDefault="00094D2B" w:rsidP="00AD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D2B" w:rsidRDefault="00094D2B" w:rsidP="00AD4802">
      <w:r>
        <w:separator/>
      </w:r>
    </w:p>
  </w:footnote>
  <w:footnote w:type="continuationSeparator" w:id="0">
    <w:p w:rsidR="00094D2B" w:rsidRDefault="00094D2B" w:rsidP="00AD4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F0"/>
    <w:rsid w:val="00094D2B"/>
    <w:rsid w:val="00AD4802"/>
    <w:rsid w:val="00C36DF0"/>
    <w:rsid w:val="00D5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4802"/>
    <w:rPr>
      <w:sz w:val="18"/>
      <w:szCs w:val="18"/>
    </w:rPr>
  </w:style>
  <w:style w:type="paragraph" w:styleId="a4">
    <w:name w:val="footer"/>
    <w:basedOn w:val="a"/>
    <w:link w:val="Char0"/>
    <w:uiPriority w:val="99"/>
    <w:unhideWhenUsed/>
    <w:rsid w:val="00AD4802"/>
    <w:pPr>
      <w:tabs>
        <w:tab w:val="center" w:pos="4153"/>
        <w:tab w:val="right" w:pos="8306"/>
      </w:tabs>
      <w:snapToGrid w:val="0"/>
      <w:jc w:val="left"/>
    </w:pPr>
    <w:rPr>
      <w:sz w:val="18"/>
      <w:szCs w:val="18"/>
    </w:rPr>
  </w:style>
  <w:style w:type="character" w:customStyle="1" w:styleId="Char0">
    <w:name w:val="页脚 Char"/>
    <w:basedOn w:val="a0"/>
    <w:link w:val="a4"/>
    <w:uiPriority w:val="99"/>
    <w:rsid w:val="00AD4802"/>
    <w:rPr>
      <w:sz w:val="18"/>
      <w:szCs w:val="18"/>
    </w:rPr>
  </w:style>
  <w:style w:type="paragraph" w:styleId="a5">
    <w:name w:val="Normal (Web)"/>
    <w:basedOn w:val="a"/>
    <w:uiPriority w:val="99"/>
    <w:unhideWhenUsed/>
    <w:rsid w:val="00AD4802"/>
    <w:pPr>
      <w:widowControl/>
      <w:spacing w:before="100" w:beforeAutospacing="1" w:after="100" w:afterAutospacing="1" w:line="30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4802"/>
    <w:rPr>
      <w:sz w:val="18"/>
      <w:szCs w:val="18"/>
    </w:rPr>
  </w:style>
  <w:style w:type="paragraph" w:styleId="a4">
    <w:name w:val="footer"/>
    <w:basedOn w:val="a"/>
    <w:link w:val="Char0"/>
    <w:uiPriority w:val="99"/>
    <w:unhideWhenUsed/>
    <w:rsid w:val="00AD4802"/>
    <w:pPr>
      <w:tabs>
        <w:tab w:val="center" w:pos="4153"/>
        <w:tab w:val="right" w:pos="8306"/>
      </w:tabs>
      <w:snapToGrid w:val="0"/>
      <w:jc w:val="left"/>
    </w:pPr>
    <w:rPr>
      <w:sz w:val="18"/>
      <w:szCs w:val="18"/>
    </w:rPr>
  </w:style>
  <w:style w:type="character" w:customStyle="1" w:styleId="Char0">
    <w:name w:val="页脚 Char"/>
    <w:basedOn w:val="a0"/>
    <w:link w:val="a4"/>
    <w:uiPriority w:val="99"/>
    <w:rsid w:val="00AD4802"/>
    <w:rPr>
      <w:sz w:val="18"/>
      <w:szCs w:val="18"/>
    </w:rPr>
  </w:style>
  <w:style w:type="paragraph" w:styleId="a5">
    <w:name w:val="Normal (Web)"/>
    <w:basedOn w:val="a"/>
    <w:uiPriority w:val="99"/>
    <w:unhideWhenUsed/>
    <w:rsid w:val="00AD4802"/>
    <w:pPr>
      <w:widowControl/>
      <w:spacing w:before="100" w:beforeAutospacing="1" w:after="100" w:afterAutospacing="1" w:line="30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85132">
      <w:bodyDiv w:val="1"/>
      <w:marLeft w:val="0"/>
      <w:marRight w:val="0"/>
      <w:marTop w:val="0"/>
      <w:marBottom w:val="0"/>
      <w:divBdr>
        <w:top w:val="none" w:sz="0" w:space="0" w:color="auto"/>
        <w:left w:val="none" w:sz="0" w:space="0" w:color="auto"/>
        <w:bottom w:val="none" w:sz="0" w:space="0" w:color="auto"/>
        <w:right w:val="none" w:sz="0" w:space="0" w:color="auto"/>
      </w:divBdr>
      <w:divsChild>
        <w:div w:id="1252929157">
          <w:marLeft w:val="0"/>
          <w:marRight w:val="0"/>
          <w:marTop w:val="0"/>
          <w:marBottom w:val="0"/>
          <w:divBdr>
            <w:top w:val="none" w:sz="0" w:space="0" w:color="auto"/>
            <w:left w:val="none" w:sz="0" w:space="0" w:color="auto"/>
            <w:bottom w:val="none" w:sz="0" w:space="0" w:color="auto"/>
            <w:right w:val="none" w:sz="0" w:space="0" w:color="auto"/>
          </w:divBdr>
          <w:divsChild>
            <w:div w:id="21075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1756</Characters>
  <Application>Microsoft Office Word</Application>
  <DocSecurity>0</DocSecurity>
  <Lines>14</Lines>
  <Paragraphs>4</Paragraphs>
  <ScaleCrop>false</ScaleCrop>
  <Company>微软中国</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2013-10-08T07:53:00Z</dcterms:created>
  <dcterms:modified xsi:type="dcterms:W3CDTF">2013-10-08T07:55:00Z</dcterms:modified>
</cp:coreProperties>
</file>