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00" w:rsidRDefault="00F63600" w:rsidP="00F63600">
      <w:pPr>
        <w:widowControl/>
        <w:spacing w:line="375" w:lineRule="atLeast"/>
        <w:jc w:val="left"/>
        <w:rPr>
          <w:rFonts w:ascii="ˎ̥" w:eastAsia="宋体" w:hAnsi="ˎ̥" w:cs="宋体" w:hint="eastAsia"/>
          <w:color w:val="202020"/>
          <w:kern w:val="0"/>
          <w:szCs w:val="21"/>
        </w:rPr>
      </w:pPr>
      <w:r w:rsidRPr="00F63600">
        <w:rPr>
          <w:rFonts w:ascii="ˎ̥" w:eastAsia="宋体" w:hAnsi="ˎ̥" w:cs="宋体"/>
          <w:b/>
          <w:bCs/>
          <w:color w:val="002B84"/>
          <w:kern w:val="0"/>
          <w:sz w:val="27"/>
          <w:szCs w:val="27"/>
        </w:rPr>
        <w:t>关于实施营业税改征增值税试点过渡性财政扶持政策的通知</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文号：</w:t>
      </w:r>
      <w:r w:rsidRPr="00F63600">
        <w:rPr>
          <w:rFonts w:ascii="ˎ̥" w:eastAsia="宋体" w:hAnsi="ˎ̥" w:cs="宋体"/>
          <w:color w:val="202020"/>
          <w:kern w:val="0"/>
          <w:szCs w:val="21"/>
        </w:rPr>
        <w:t xml:space="preserve"> </w:t>
      </w:r>
      <w:r w:rsidRPr="00F63600">
        <w:rPr>
          <w:rFonts w:ascii="ˎ̥" w:eastAsia="宋体" w:hAnsi="ˎ̥" w:cs="宋体"/>
          <w:color w:val="202020"/>
          <w:kern w:val="0"/>
          <w:szCs w:val="21"/>
        </w:rPr>
        <w:t>沪财税〔</w:t>
      </w:r>
      <w:r w:rsidRPr="00F63600">
        <w:rPr>
          <w:rFonts w:ascii="ˎ̥" w:eastAsia="宋体" w:hAnsi="ˎ̥" w:cs="宋体"/>
          <w:color w:val="202020"/>
          <w:kern w:val="0"/>
          <w:szCs w:val="21"/>
        </w:rPr>
        <w:t>2012</w:t>
      </w:r>
      <w:r w:rsidRPr="00F63600">
        <w:rPr>
          <w:rFonts w:ascii="ˎ̥" w:eastAsia="宋体" w:hAnsi="ˎ̥" w:cs="宋体"/>
          <w:color w:val="202020"/>
          <w:kern w:val="0"/>
          <w:szCs w:val="21"/>
        </w:rPr>
        <w:t>〕</w:t>
      </w:r>
      <w:r w:rsidRPr="00F63600">
        <w:rPr>
          <w:rFonts w:ascii="ˎ̥" w:eastAsia="宋体" w:hAnsi="ˎ̥" w:cs="宋体"/>
          <w:color w:val="202020"/>
          <w:kern w:val="0"/>
          <w:szCs w:val="21"/>
        </w:rPr>
        <w:t>5</w:t>
      </w:r>
      <w:r w:rsidRPr="00F63600">
        <w:rPr>
          <w:rFonts w:ascii="ˎ̥" w:eastAsia="宋体" w:hAnsi="ˎ̥" w:cs="宋体"/>
          <w:color w:val="202020"/>
          <w:kern w:val="0"/>
          <w:szCs w:val="21"/>
        </w:rPr>
        <w:t>号</w:t>
      </w:r>
      <w:r w:rsidRPr="00F63600">
        <w:rPr>
          <w:rFonts w:ascii="ˎ̥" w:eastAsia="宋体" w:hAnsi="ˎ̥" w:cs="宋体"/>
          <w:color w:val="202020"/>
          <w:kern w:val="0"/>
          <w:szCs w:val="21"/>
        </w:rPr>
        <w:br/>
      </w:r>
      <w:r w:rsidRPr="00F63600">
        <w:rPr>
          <w:rFonts w:ascii="ˎ̥" w:eastAsia="宋体" w:hAnsi="ˎ̥" w:cs="宋体"/>
          <w:color w:val="202020"/>
          <w:kern w:val="0"/>
          <w:szCs w:val="21"/>
        </w:rPr>
        <w:t>发文单位：</w:t>
      </w:r>
      <w:r w:rsidRPr="00F63600">
        <w:rPr>
          <w:rFonts w:ascii="ˎ̥" w:eastAsia="宋体" w:hAnsi="ˎ̥" w:cs="宋体"/>
          <w:color w:val="202020"/>
          <w:kern w:val="0"/>
          <w:szCs w:val="21"/>
        </w:rPr>
        <w:t xml:space="preserve"> </w:t>
      </w:r>
      <w:r w:rsidRPr="00F63600">
        <w:rPr>
          <w:rFonts w:ascii="ˎ̥" w:eastAsia="宋体" w:hAnsi="ˎ̥" w:cs="宋体"/>
          <w:color w:val="202020"/>
          <w:kern w:val="0"/>
          <w:szCs w:val="21"/>
        </w:rPr>
        <w:t>上海市财政局、上海市国家税务局、上海市地方税务局</w:t>
      </w:r>
      <w:r w:rsidRPr="00F63600">
        <w:rPr>
          <w:rFonts w:ascii="ˎ̥" w:eastAsia="宋体" w:hAnsi="ˎ̥" w:cs="宋体"/>
          <w:color w:val="202020"/>
          <w:kern w:val="0"/>
          <w:szCs w:val="21"/>
        </w:rPr>
        <w:br/>
      </w:r>
      <w:r w:rsidRPr="00F63600">
        <w:rPr>
          <w:rFonts w:ascii="ˎ̥" w:eastAsia="宋体" w:hAnsi="ˎ̥" w:cs="宋体"/>
          <w:color w:val="202020"/>
          <w:kern w:val="0"/>
          <w:szCs w:val="21"/>
        </w:rPr>
        <w:t>发文日期：</w:t>
      </w:r>
      <w:r w:rsidRPr="00F63600">
        <w:rPr>
          <w:rFonts w:ascii="ˎ̥" w:eastAsia="宋体" w:hAnsi="ˎ̥" w:cs="宋体"/>
          <w:color w:val="202020"/>
          <w:kern w:val="0"/>
          <w:szCs w:val="21"/>
        </w:rPr>
        <w:t xml:space="preserve"> 2012-02-02</w:t>
      </w:r>
    </w:p>
    <w:p w:rsidR="00F63600" w:rsidRPr="00F63600" w:rsidRDefault="00F63600" w:rsidP="00F63600">
      <w:pPr>
        <w:widowControl/>
        <w:spacing w:after="240" w:line="375" w:lineRule="atLeast"/>
        <w:jc w:val="left"/>
        <w:rPr>
          <w:rFonts w:ascii="ˎ̥" w:eastAsia="宋体" w:hAnsi="ˎ̥" w:cs="宋体"/>
          <w:color w:val="202020"/>
          <w:kern w:val="0"/>
          <w:szCs w:val="21"/>
        </w:rPr>
      </w:pPr>
      <w:bookmarkStart w:id="0" w:name="_GoBack"/>
      <w:bookmarkEnd w:id="0"/>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各区县财政局、税务局，市财政监督局，市税务局各直属分局：</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为了平稳有序推进营业税改征增值税改革试点，根据国家明确的</w:t>
      </w:r>
      <w:r w:rsidRPr="00F63600">
        <w:rPr>
          <w:rFonts w:ascii="ˎ̥" w:eastAsia="宋体" w:hAnsi="ˎ̥" w:cs="宋体"/>
          <w:color w:val="202020"/>
          <w:kern w:val="0"/>
          <w:szCs w:val="21"/>
        </w:rPr>
        <w:t>“</w:t>
      </w:r>
      <w:r w:rsidRPr="00F63600">
        <w:rPr>
          <w:rFonts w:ascii="ˎ̥" w:eastAsia="宋体" w:hAnsi="ˎ̥" w:cs="宋体"/>
          <w:color w:val="202020"/>
          <w:kern w:val="0"/>
          <w:szCs w:val="21"/>
        </w:rPr>
        <w:t>改革试点行业总体税负不增加或略有下降，基本消除重复征税</w:t>
      </w:r>
      <w:r w:rsidRPr="00F63600">
        <w:rPr>
          <w:rFonts w:ascii="ˎ̥" w:eastAsia="宋体" w:hAnsi="ˎ̥" w:cs="宋体"/>
          <w:color w:val="202020"/>
          <w:kern w:val="0"/>
          <w:szCs w:val="21"/>
        </w:rPr>
        <w:t>”</w:t>
      </w:r>
      <w:r w:rsidRPr="00F63600">
        <w:rPr>
          <w:rFonts w:ascii="ˎ̥" w:eastAsia="宋体" w:hAnsi="ˎ̥" w:cs="宋体"/>
          <w:color w:val="202020"/>
          <w:kern w:val="0"/>
          <w:szCs w:val="21"/>
        </w:rPr>
        <w:t>的税制改革原则和市政府的相关要求，经研究确定，从</w:t>
      </w:r>
      <w:r w:rsidRPr="00F63600">
        <w:rPr>
          <w:rFonts w:ascii="ˎ̥" w:eastAsia="宋体" w:hAnsi="ˎ̥" w:cs="宋体"/>
          <w:color w:val="202020"/>
          <w:kern w:val="0"/>
          <w:szCs w:val="21"/>
        </w:rPr>
        <w:t>2012</w:t>
      </w:r>
      <w:r w:rsidRPr="00F63600">
        <w:rPr>
          <w:rFonts w:ascii="ˎ̥" w:eastAsia="宋体" w:hAnsi="ˎ̥" w:cs="宋体"/>
          <w:color w:val="202020"/>
          <w:kern w:val="0"/>
          <w:szCs w:val="21"/>
        </w:rPr>
        <w:t>年</w:t>
      </w:r>
      <w:r w:rsidRPr="00F63600">
        <w:rPr>
          <w:rFonts w:ascii="ˎ̥" w:eastAsia="宋体" w:hAnsi="ˎ̥" w:cs="宋体"/>
          <w:color w:val="202020"/>
          <w:kern w:val="0"/>
          <w:szCs w:val="21"/>
        </w:rPr>
        <w:t>1</w:t>
      </w:r>
      <w:r w:rsidRPr="00F63600">
        <w:rPr>
          <w:rFonts w:ascii="ˎ̥" w:eastAsia="宋体" w:hAnsi="ˎ̥" w:cs="宋体"/>
          <w:color w:val="202020"/>
          <w:kern w:val="0"/>
          <w:szCs w:val="21"/>
        </w:rPr>
        <w:t>月</w:t>
      </w:r>
      <w:r w:rsidRPr="00F63600">
        <w:rPr>
          <w:rFonts w:ascii="ˎ̥" w:eastAsia="宋体" w:hAnsi="ˎ̥" w:cs="宋体"/>
          <w:color w:val="202020"/>
          <w:kern w:val="0"/>
          <w:szCs w:val="21"/>
        </w:rPr>
        <w:t>1</w:t>
      </w:r>
      <w:r w:rsidRPr="00F63600">
        <w:rPr>
          <w:rFonts w:ascii="ˎ̥" w:eastAsia="宋体" w:hAnsi="ˎ̥" w:cs="宋体"/>
          <w:color w:val="202020"/>
          <w:kern w:val="0"/>
          <w:szCs w:val="21"/>
        </w:rPr>
        <w:t>日起，对本市营业税改征增值税试点过程中因新老税制转换而产生税负有所增加的试点企业，按照</w:t>
      </w:r>
      <w:r w:rsidRPr="00F63600">
        <w:rPr>
          <w:rFonts w:ascii="ˎ̥" w:eastAsia="宋体" w:hAnsi="ˎ̥" w:cs="宋体"/>
          <w:color w:val="202020"/>
          <w:kern w:val="0"/>
          <w:szCs w:val="21"/>
        </w:rPr>
        <w:t>“</w:t>
      </w:r>
      <w:r w:rsidRPr="00F63600">
        <w:rPr>
          <w:rFonts w:ascii="ˎ̥" w:eastAsia="宋体" w:hAnsi="ˎ̥" w:cs="宋体"/>
          <w:color w:val="202020"/>
          <w:kern w:val="0"/>
          <w:szCs w:val="21"/>
        </w:rPr>
        <w:t>企业据实申请、财政分类扶持、资金及时预拨</w:t>
      </w:r>
      <w:r w:rsidRPr="00F63600">
        <w:rPr>
          <w:rFonts w:ascii="ˎ̥" w:eastAsia="宋体" w:hAnsi="ˎ̥" w:cs="宋体"/>
          <w:color w:val="202020"/>
          <w:kern w:val="0"/>
          <w:szCs w:val="21"/>
        </w:rPr>
        <w:t>”</w:t>
      </w:r>
      <w:r w:rsidRPr="00F63600">
        <w:rPr>
          <w:rFonts w:ascii="ˎ̥" w:eastAsia="宋体" w:hAnsi="ˎ̥" w:cs="宋体"/>
          <w:color w:val="202020"/>
          <w:kern w:val="0"/>
          <w:szCs w:val="21"/>
        </w:rPr>
        <w:t>的方式实施过渡性财政扶持政策。现就有关工作事宜通知如下：</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一、实施过渡性财政扶持政策的重要意义</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营业税改征增值税改革试点是我国</w:t>
      </w:r>
      <w:r w:rsidRPr="00F63600">
        <w:rPr>
          <w:rFonts w:ascii="ˎ̥" w:eastAsia="宋体" w:hAnsi="ˎ̥" w:cs="宋体"/>
          <w:color w:val="202020"/>
          <w:kern w:val="0"/>
          <w:szCs w:val="21"/>
        </w:rPr>
        <w:t>“</w:t>
      </w:r>
      <w:r w:rsidRPr="00F63600">
        <w:rPr>
          <w:rFonts w:ascii="ˎ̥" w:eastAsia="宋体" w:hAnsi="ˎ̥" w:cs="宋体"/>
          <w:color w:val="202020"/>
          <w:kern w:val="0"/>
          <w:szCs w:val="21"/>
        </w:rPr>
        <w:t>十二五</w:t>
      </w:r>
      <w:r w:rsidRPr="00F63600">
        <w:rPr>
          <w:rFonts w:ascii="ˎ̥" w:eastAsia="宋体" w:hAnsi="ˎ̥" w:cs="宋体"/>
          <w:color w:val="202020"/>
          <w:kern w:val="0"/>
          <w:szCs w:val="21"/>
        </w:rPr>
        <w:t>”</w:t>
      </w:r>
      <w:r w:rsidRPr="00F63600">
        <w:rPr>
          <w:rFonts w:ascii="ˎ̥" w:eastAsia="宋体" w:hAnsi="ˎ̥" w:cs="宋体"/>
          <w:color w:val="202020"/>
          <w:kern w:val="0"/>
          <w:szCs w:val="21"/>
        </w:rPr>
        <w:t>时期深化增值税制度改革的重要内容，也是国家采取结构性减税政策措施，促进产业结构调整的一项重大举措。在营业税改征增值税改革试点过程中，部分试点企业由于成本结构不同、发展时期</w:t>
      </w:r>
      <w:proofErr w:type="gramStart"/>
      <w:r w:rsidRPr="00F63600">
        <w:rPr>
          <w:rFonts w:ascii="ˎ̥" w:eastAsia="宋体" w:hAnsi="ˎ̥" w:cs="宋体"/>
          <w:color w:val="202020"/>
          <w:kern w:val="0"/>
          <w:szCs w:val="21"/>
        </w:rPr>
        <w:t>不</w:t>
      </w:r>
      <w:proofErr w:type="gramEnd"/>
      <w:r w:rsidRPr="00F63600">
        <w:rPr>
          <w:rFonts w:ascii="ˎ̥" w:eastAsia="宋体" w:hAnsi="ˎ̥" w:cs="宋体"/>
          <w:color w:val="202020"/>
          <w:kern w:val="0"/>
          <w:szCs w:val="21"/>
        </w:rPr>
        <w:t>同等原因，在新老税制转换期内产生税负有所增加的情况。为了有效平衡这部分试点企业的税负，顺利推进营业税改征增值税改革试点，有必要研究制定过渡性的财政扶持政策。对上述试点企业实施过渡性的财政扶持政策，有利于帮助试点企业在新老税制转换过程中实现平稳过渡，确保试点行业和企业税负基本不增加；有利于进一步调动试点企业参与改革试点的积极性，促进试点企业抓住机遇、用好政策，整合业务资源、转变经营方式、创新服务领域。</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二、实施过渡性财政扶持政策的主要内容</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（一）明确财政扶持对象</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财政扶持的对象是：在营业税改征增值税试点以后，按照新税制（</w:t>
      </w:r>
      <w:proofErr w:type="gramStart"/>
      <w:r w:rsidRPr="00F63600">
        <w:rPr>
          <w:rFonts w:ascii="ˎ̥" w:eastAsia="宋体" w:hAnsi="ˎ̥" w:cs="宋体"/>
          <w:color w:val="202020"/>
          <w:kern w:val="0"/>
          <w:szCs w:val="21"/>
        </w:rPr>
        <w:t>即试点</w:t>
      </w:r>
      <w:proofErr w:type="gramEnd"/>
      <w:r w:rsidRPr="00F63600">
        <w:rPr>
          <w:rFonts w:ascii="ˎ̥" w:eastAsia="宋体" w:hAnsi="ˎ̥" w:cs="宋体"/>
          <w:color w:val="202020"/>
          <w:kern w:val="0"/>
          <w:szCs w:val="21"/>
        </w:rPr>
        <w:t>政策）规定缴纳的增值税</w:t>
      </w:r>
      <w:proofErr w:type="gramStart"/>
      <w:r w:rsidRPr="00F63600">
        <w:rPr>
          <w:rFonts w:ascii="ˎ̥" w:eastAsia="宋体" w:hAnsi="ˎ̥" w:cs="宋体"/>
          <w:color w:val="202020"/>
          <w:kern w:val="0"/>
          <w:szCs w:val="21"/>
        </w:rPr>
        <w:t>比按照</w:t>
      </w:r>
      <w:proofErr w:type="gramEnd"/>
      <w:r w:rsidRPr="00F63600">
        <w:rPr>
          <w:rFonts w:ascii="ˎ̥" w:eastAsia="宋体" w:hAnsi="ˎ̥" w:cs="宋体"/>
          <w:color w:val="202020"/>
          <w:kern w:val="0"/>
          <w:szCs w:val="21"/>
        </w:rPr>
        <w:t>老税制（即原营业税政策）规定计算的营业税确实有所增加的试点企业。</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（二）设立财政扶持资金</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由市与区县两级财政分别设立</w:t>
      </w:r>
      <w:r w:rsidRPr="00F63600">
        <w:rPr>
          <w:rFonts w:ascii="ˎ̥" w:eastAsia="宋体" w:hAnsi="ˎ̥" w:cs="宋体"/>
          <w:color w:val="202020"/>
          <w:kern w:val="0"/>
          <w:szCs w:val="21"/>
        </w:rPr>
        <w:t>“</w:t>
      </w:r>
      <w:r w:rsidRPr="00F63600">
        <w:rPr>
          <w:rFonts w:ascii="ˎ̥" w:eastAsia="宋体" w:hAnsi="ˎ̥" w:cs="宋体"/>
          <w:color w:val="202020"/>
          <w:kern w:val="0"/>
          <w:szCs w:val="21"/>
        </w:rPr>
        <w:t>营业税改征增值税改革试点财政扶持资金</w:t>
      </w:r>
      <w:r w:rsidRPr="00F63600">
        <w:rPr>
          <w:rFonts w:ascii="ˎ̥" w:eastAsia="宋体" w:hAnsi="ˎ̥" w:cs="宋体"/>
          <w:color w:val="202020"/>
          <w:kern w:val="0"/>
          <w:szCs w:val="21"/>
        </w:rPr>
        <w:t>”</w:t>
      </w:r>
      <w:r w:rsidRPr="00F63600">
        <w:rPr>
          <w:rFonts w:ascii="ˎ̥" w:eastAsia="宋体" w:hAnsi="ˎ̥" w:cs="宋体"/>
          <w:color w:val="202020"/>
          <w:kern w:val="0"/>
          <w:szCs w:val="21"/>
        </w:rPr>
        <w:t>，专项用于对营业税改征增值税试点企业的财政扶持。财政扶持资金按现行市与区县财政管理体制分别负担。</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（三）规范财政资金管理</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财政扶持资金按照</w:t>
      </w:r>
      <w:r w:rsidRPr="00F63600">
        <w:rPr>
          <w:rFonts w:ascii="ˎ̥" w:eastAsia="宋体" w:hAnsi="ˎ̥" w:cs="宋体"/>
          <w:color w:val="202020"/>
          <w:kern w:val="0"/>
          <w:szCs w:val="21"/>
        </w:rPr>
        <w:t>“</w:t>
      </w:r>
      <w:r w:rsidRPr="00F63600">
        <w:rPr>
          <w:rFonts w:ascii="ˎ̥" w:eastAsia="宋体" w:hAnsi="ˎ̥" w:cs="宋体"/>
          <w:color w:val="202020"/>
          <w:kern w:val="0"/>
          <w:szCs w:val="21"/>
        </w:rPr>
        <w:t>企业据实申请、财政分类扶持、资金及时预拨</w:t>
      </w:r>
      <w:r w:rsidRPr="00F63600">
        <w:rPr>
          <w:rFonts w:ascii="ˎ̥" w:eastAsia="宋体" w:hAnsi="ˎ̥" w:cs="宋体"/>
          <w:color w:val="202020"/>
          <w:kern w:val="0"/>
          <w:szCs w:val="21"/>
        </w:rPr>
        <w:t>”</w:t>
      </w:r>
      <w:r w:rsidRPr="00F63600">
        <w:rPr>
          <w:rFonts w:ascii="ˎ̥" w:eastAsia="宋体" w:hAnsi="ˎ̥" w:cs="宋体"/>
          <w:color w:val="202020"/>
          <w:kern w:val="0"/>
          <w:szCs w:val="21"/>
        </w:rPr>
        <w:t>的方式进行管理。</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w:t>
      </w:r>
      <w:r w:rsidRPr="00F63600">
        <w:rPr>
          <w:rFonts w:ascii="ˎ̥" w:eastAsia="宋体" w:hAnsi="ˎ̥" w:cs="宋体"/>
          <w:color w:val="202020"/>
          <w:kern w:val="0"/>
          <w:szCs w:val="21"/>
        </w:rPr>
        <w:t>“</w:t>
      </w:r>
      <w:r w:rsidRPr="00F63600">
        <w:rPr>
          <w:rFonts w:ascii="ˎ̥" w:eastAsia="宋体" w:hAnsi="ˎ̥" w:cs="宋体"/>
          <w:color w:val="202020"/>
          <w:kern w:val="0"/>
          <w:szCs w:val="21"/>
        </w:rPr>
        <w:t>企业据实申请</w:t>
      </w:r>
      <w:r w:rsidRPr="00F63600">
        <w:rPr>
          <w:rFonts w:ascii="ˎ̥" w:eastAsia="宋体" w:hAnsi="ˎ̥" w:cs="宋体"/>
          <w:color w:val="202020"/>
          <w:kern w:val="0"/>
          <w:szCs w:val="21"/>
        </w:rPr>
        <w:t>”</w:t>
      </w:r>
      <w:r w:rsidRPr="00F63600">
        <w:rPr>
          <w:rFonts w:ascii="ˎ̥" w:eastAsia="宋体" w:hAnsi="ˎ̥" w:cs="宋体"/>
          <w:color w:val="202020"/>
          <w:kern w:val="0"/>
          <w:szCs w:val="21"/>
        </w:rPr>
        <w:t>是指在改革试点的推进实施过程中，财税部门在试点企业办理纳税申报、实际缴纳税款时，同步布置试点企业按月向主管税务机关报送营业税改征增值税试点税负变化情况。试点企业根据税制改革前后比较，实际税负确实是有所增加的，可向财税部门申请财政专项资金扶持。</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lastRenderedPageBreak/>
        <w:t xml:space="preserve">　　</w:t>
      </w:r>
      <w:r w:rsidRPr="00F63600">
        <w:rPr>
          <w:rFonts w:ascii="ˎ̥" w:eastAsia="宋体" w:hAnsi="ˎ̥" w:cs="宋体"/>
          <w:color w:val="202020"/>
          <w:kern w:val="0"/>
          <w:szCs w:val="21"/>
        </w:rPr>
        <w:t>“</w:t>
      </w:r>
      <w:r w:rsidRPr="00F63600">
        <w:rPr>
          <w:rFonts w:ascii="ˎ̥" w:eastAsia="宋体" w:hAnsi="ˎ̥" w:cs="宋体"/>
          <w:color w:val="202020"/>
          <w:kern w:val="0"/>
          <w:szCs w:val="21"/>
        </w:rPr>
        <w:t>财政分类扶持</w:t>
      </w:r>
      <w:r w:rsidRPr="00F63600">
        <w:rPr>
          <w:rFonts w:ascii="ˎ̥" w:eastAsia="宋体" w:hAnsi="ˎ̥" w:cs="宋体"/>
          <w:color w:val="202020"/>
          <w:kern w:val="0"/>
          <w:szCs w:val="21"/>
        </w:rPr>
        <w:t>”</w:t>
      </w:r>
      <w:r w:rsidRPr="00F63600">
        <w:rPr>
          <w:rFonts w:ascii="ˎ̥" w:eastAsia="宋体" w:hAnsi="ˎ̥" w:cs="宋体"/>
          <w:color w:val="202020"/>
          <w:kern w:val="0"/>
          <w:szCs w:val="21"/>
        </w:rPr>
        <w:t>是指财税部门根据试点企业提出申请的不同情况，采取有针对性的政策措施，区别对待、分类扶持。对确实由于新老税制转换原因导致税负增加的试点企业，据实落实过渡性财政扶持政策。对由于种种原因难以取得增值税专用发票的试点企业，由财税部门会同有关行业协会或工商联建立协调评估机制，共同研究分析企业无法取得增值税专用发票的具体原因，区别不同情况，给予适当的过渡性财政扶持，并逐步予以规范，以保证增值税抵扣链条的完整性。</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w:t>
      </w:r>
      <w:r w:rsidRPr="00F63600">
        <w:rPr>
          <w:rFonts w:ascii="ˎ̥" w:eastAsia="宋体" w:hAnsi="ˎ̥" w:cs="宋体"/>
          <w:color w:val="202020"/>
          <w:kern w:val="0"/>
          <w:szCs w:val="21"/>
        </w:rPr>
        <w:t>“</w:t>
      </w:r>
      <w:r w:rsidRPr="00F63600">
        <w:rPr>
          <w:rFonts w:ascii="ˎ̥" w:eastAsia="宋体" w:hAnsi="ˎ̥" w:cs="宋体"/>
          <w:color w:val="202020"/>
          <w:kern w:val="0"/>
          <w:szCs w:val="21"/>
        </w:rPr>
        <w:t>资金及时预拨</w:t>
      </w:r>
      <w:r w:rsidRPr="00F63600">
        <w:rPr>
          <w:rFonts w:ascii="ˎ̥" w:eastAsia="宋体" w:hAnsi="ˎ̥" w:cs="宋体"/>
          <w:color w:val="202020"/>
          <w:kern w:val="0"/>
          <w:szCs w:val="21"/>
        </w:rPr>
        <w:t>”</w:t>
      </w:r>
      <w:r w:rsidRPr="00F63600">
        <w:rPr>
          <w:rFonts w:ascii="ˎ̥" w:eastAsia="宋体" w:hAnsi="ˎ̥" w:cs="宋体"/>
          <w:color w:val="202020"/>
          <w:kern w:val="0"/>
          <w:szCs w:val="21"/>
        </w:rPr>
        <w:t>是指财政部门根据审核企业申请的情况，将财政扶持资金及时预拨至试点企业。在具体操作时，根据企业税负增加的实际情况，财政部门原则上应采取按月跟踪分析、按季审核预拨、按年据实清算的办法。</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有关财政扶持资金的申请、审核和拨付等具体实施操作办法另行制定。</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三、实施过渡性财政扶持政策的工作要求</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（一）提高思想认识，加强组织领导</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实施过渡性财政扶持政策是平稳推进营业税改征增值税改革试点的重要工作。各级财税部门要进一步提高认识，明确工作职责，细化工作要求，落实工作措施，确保财政扶持政策的有效实施。</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市财税部门要在市政府分管副市长牵头的上海市营业税改征增值税改革试点工作领导协调小组的领导下，建立健全财政扶持政策日常的工作协调推进机制，精心筹划、周密部署。</w:t>
      </w:r>
      <w:r w:rsidRPr="00F63600">
        <w:rPr>
          <w:rFonts w:ascii="ˎ̥" w:eastAsia="宋体" w:hAnsi="ˎ̥" w:cs="宋体"/>
          <w:color w:val="202020"/>
          <w:kern w:val="0"/>
          <w:szCs w:val="21"/>
        </w:rPr>
        <w:t xml:space="preserve">   </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各区县财税部门要在各区县分管区县长为组长的协调服务小组领导下，了解收集本区县财政扶持政策实施过程中的各种新情况、新问题，并及时向市财税部门提出相关建议。市、区县两级财税部门应明确职能处（科）室，落实具体联络人员。</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（二）规范操作程序，加强审核把关</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各级财税部门要建立科学规范的工作机制，加强对财政扶持政策的申请受理、资金拨付、年度清算等关键环节的审核把关，切实保障财政扶持资金的有效性和规范性。</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各区县财税部门要加强协调配合，做好分工衔接，规范操作流程，严格按照市财税部门规定落实财政扶持政策的各项工作。</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（三）加强指导推进，及时协调处理</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市财税部门要加强对各区县财税部门的工作指导，通过定期召开工作推进会、深入企业调研等形式掌握政策实施情况，及时协调处理实施过程中出现的各种问题。</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xml:space="preserve">　　各区县财税部门要根据本区县的实际情况统筹安排实施营业税改征增值税试点财政扶持政策的各项工作，按照市财税部门的具体操作要求，做好相关工作，及时报送进展情况和相关资料，确保财政扶持政策取得实效。</w:t>
      </w:r>
    </w:p>
    <w:p w:rsidR="00F63600" w:rsidRPr="00F63600" w:rsidRDefault="00F63600" w:rsidP="00F63600">
      <w:pPr>
        <w:widowControl/>
        <w:spacing w:line="375" w:lineRule="atLeast"/>
        <w:jc w:val="left"/>
        <w:rPr>
          <w:rFonts w:ascii="ˎ̥" w:eastAsia="宋体" w:hAnsi="ˎ̥" w:cs="宋体"/>
          <w:color w:val="202020"/>
          <w:kern w:val="0"/>
          <w:szCs w:val="21"/>
        </w:rPr>
      </w:pPr>
      <w:r w:rsidRPr="00F63600">
        <w:rPr>
          <w:rFonts w:ascii="ˎ̥" w:eastAsia="宋体" w:hAnsi="ˎ̥" w:cs="宋体"/>
          <w:color w:val="202020"/>
          <w:kern w:val="0"/>
          <w:szCs w:val="21"/>
        </w:rPr>
        <w:t> </w:t>
      </w:r>
    </w:p>
    <w:p w:rsidR="00F63600" w:rsidRPr="00F63600" w:rsidRDefault="00F63600" w:rsidP="00F63600">
      <w:pPr>
        <w:widowControl/>
        <w:spacing w:line="375" w:lineRule="atLeast"/>
        <w:jc w:val="right"/>
        <w:rPr>
          <w:rFonts w:ascii="ˎ̥" w:eastAsia="宋体" w:hAnsi="ˎ̥" w:cs="宋体"/>
          <w:color w:val="202020"/>
          <w:kern w:val="0"/>
          <w:szCs w:val="21"/>
        </w:rPr>
      </w:pPr>
      <w:r w:rsidRPr="00F63600">
        <w:rPr>
          <w:rFonts w:ascii="ˎ̥" w:eastAsia="宋体" w:hAnsi="ˎ̥" w:cs="宋体"/>
          <w:color w:val="202020"/>
          <w:kern w:val="0"/>
          <w:szCs w:val="21"/>
        </w:rPr>
        <w:t xml:space="preserve">　　上海市财政局</w:t>
      </w:r>
    </w:p>
    <w:p w:rsidR="00F63600" w:rsidRPr="00F63600" w:rsidRDefault="00F63600" w:rsidP="00F63600">
      <w:pPr>
        <w:widowControl/>
        <w:spacing w:line="375" w:lineRule="atLeast"/>
        <w:jc w:val="right"/>
        <w:rPr>
          <w:rFonts w:ascii="ˎ̥" w:eastAsia="宋体" w:hAnsi="ˎ̥" w:cs="宋体"/>
          <w:color w:val="202020"/>
          <w:kern w:val="0"/>
          <w:szCs w:val="21"/>
        </w:rPr>
      </w:pPr>
      <w:r w:rsidRPr="00F63600">
        <w:rPr>
          <w:rFonts w:ascii="ˎ̥" w:eastAsia="宋体" w:hAnsi="ˎ̥" w:cs="宋体"/>
          <w:color w:val="202020"/>
          <w:kern w:val="0"/>
          <w:szCs w:val="21"/>
        </w:rPr>
        <w:t xml:space="preserve">　　上海市国家税务局</w:t>
      </w:r>
    </w:p>
    <w:p w:rsidR="00F63600" w:rsidRPr="00F63600" w:rsidRDefault="00F63600" w:rsidP="00F63600">
      <w:pPr>
        <w:widowControl/>
        <w:spacing w:line="375" w:lineRule="atLeast"/>
        <w:jc w:val="right"/>
        <w:rPr>
          <w:rFonts w:ascii="ˎ̥" w:eastAsia="宋体" w:hAnsi="ˎ̥" w:cs="宋体"/>
          <w:color w:val="202020"/>
          <w:kern w:val="0"/>
          <w:szCs w:val="21"/>
        </w:rPr>
      </w:pPr>
      <w:r w:rsidRPr="00F63600">
        <w:rPr>
          <w:rFonts w:ascii="ˎ̥" w:eastAsia="宋体" w:hAnsi="ˎ̥" w:cs="宋体"/>
          <w:color w:val="202020"/>
          <w:kern w:val="0"/>
          <w:szCs w:val="21"/>
        </w:rPr>
        <w:t xml:space="preserve">　　上海市地方税务局</w:t>
      </w:r>
    </w:p>
    <w:p w:rsidR="00DA5643" w:rsidRDefault="00F63600" w:rsidP="00F63600">
      <w:pPr>
        <w:rPr>
          <w:rFonts w:hint="eastAsia"/>
        </w:rPr>
      </w:pPr>
      <w:r w:rsidRPr="00F63600">
        <w:rPr>
          <w:rFonts w:ascii="ˎ̥" w:eastAsia="宋体" w:hAnsi="ˎ̥" w:cs="宋体"/>
          <w:color w:val="202020"/>
          <w:kern w:val="0"/>
          <w:szCs w:val="21"/>
        </w:rPr>
        <w:t xml:space="preserve">　　</w:t>
      </w:r>
      <w:r>
        <w:rPr>
          <w:rFonts w:ascii="ˎ̥" w:eastAsia="宋体" w:hAnsi="ˎ̥" w:cs="宋体" w:hint="eastAsia"/>
          <w:color w:val="202020"/>
          <w:kern w:val="0"/>
          <w:szCs w:val="21"/>
        </w:rPr>
        <w:t xml:space="preserve">                                                      </w:t>
      </w:r>
      <w:r w:rsidRPr="00F63600">
        <w:rPr>
          <w:rFonts w:ascii="ˎ̥" w:eastAsia="宋体" w:hAnsi="ˎ̥" w:cs="宋体"/>
          <w:color w:val="202020"/>
          <w:kern w:val="0"/>
          <w:szCs w:val="21"/>
        </w:rPr>
        <w:t>二Ｏ一二年二月二日</w:t>
      </w:r>
    </w:p>
    <w:sectPr w:rsidR="00DA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F8"/>
    <w:rsid w:val="004132F8"/>
    <w:rsid w:val="00DA5643"/>
    <w:rsid w:val="00F6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3600"/>
    <w:rPr>
      <w:strike w:val="0"/>
      <w:dstrike w:val="0"/>
      <w:color w:val="1A56A8"/>
      <w:u w:val="none"/>
      <w:effect w:val="none"/>
    </w:rPr>
  </w:style>
  <w:style w:type="paragraph" w:styleId="a4">
    <w:name w:val="Normal (Web)"/>
    <w:basedOn w:val="a"/>
    <w:uiPriority w:val="99"/>
    <w:unhideWhenUsed/>
    <w:rsid w:val="00F63600"/>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F63600"/>
    <w:rPr>
      <w:sz w:val="18"/>
      <w:szCs w:val="18"/>
    </w:rPr>
  </w:style>
  <w:style w:type="character" w:customStyle="1" w:styleId="Char">
    <w:name w:val="批注框文本 Char"/>
    <w:basedOn w:val="a0"/>
    <w:link w:val="a5"/>
    <w:uiPriority w:val="99"/>
    <w:semiHidden/>
    <w:rsid w:val="00F636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3600"/>
    <w:rPr>
      <w:strike w:val="0"/>
      <w:dstrike w:val="0"/>
      <w:color w:val="1A56A8"/>
      <w:u w:val="none"/>
      <w:effect w:val="none"/>
    </w:rPr>
  </w:style>
  <w:style w:type="paragraph" w:styleId="a4">
    <w:name w:val="Normal (Web)"/>
    <w:basedOn w:val="a"/>
    <w:uiPriority w:val="99"/>
    <w:unhideWhenUsed/>
    <w:rsid w:val="00F63600"/>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F63600"/>
    <w:rPr>
      <w:sz w:val="18"/>
      <w:szCs w:val="18"/>
    </w:rPr>
  </w:style>
  <w:style w:type="character" w:customStyle="1" w:styleId="Char">
    <w:name w:val="批注框文本 Char"/>
    <w:basedOn w:val="a0"/>
    <w:link w:val="a5"/>
    <w:uiPriority w:val="99"/>
    <w:semiHidden/>
    <w:rsid w:val="00F636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67381">
      <w:bodyDiv w:val="1"/>
      <w:marLeft w:val="0"/>
      <w:marRight w:val="0"/>
      <w:marTop w:val="100"/>
      <w:marBottom w:val="100"/>
      <w:divBdr>
        <w:top w:val="none" w:sz="0" w:space="0" w:color="auto"/>
        <w:left w:val="none" w:sz="0" w:space="0" w:color="auto"/>
        <w:bottom w:val="none" w:sz="0" w:space="0" w:color="auto"/>
        <w:right w:val="none" w:sz="0" w:space="0" w:color="auto"/>
      </w:divBdr>
      <w:divsChild>
        <w:div w:id="971207036">
          <w:marLeft w:val="0"/>
          <w:marRight w:val="0"/>
          <w:marTop w:val="0"/>
          <w:marBottom w:val="0"/>
          <w:divBdr>
            <w:top w:val="none" w:sz="0" w:space="0" w:color="auto"/>
            <w:left w:val="none" w:sz="0" w:space="0" w:color="auto"/>
            <w:bottom w:val="none" w:sz="0" w:space="0" w:color="auto"/>
            <w:right w:val="none" w:sz="0" w:space="0" w:color="auto"/>
          </w:divBdr>
        </w:div>
        <w:div w:id="1952009796">
          <w:marLeft w:val="0"/>
          <w:marRight w:val="0"/>
          <w:marTop w:val="0"/>
          <w:marBottom w:val="0"/>
          <w:divBdr>
            <w:top w:val="none" w:sz="0" w:space="0" w:color="auto"/>
            <w:left w:val="none" w:sz="0" w:space="0" w:color="auto"/>
            <w:bottom w:val="none" w:sz="0" w:space="0" w:color="auto"/>
            <w:right w:val="none" w:sz="0" w:space="0" w:color="auto"/>
          </w:divBdr>
          <w:divsChild>
            <w:div w:id="962347009">
              <w:marLeft w:val="0"/>
              <w:marRight w:val="0"/>
              <w:marTop w:val="0"/>
              <w:marBottom w:val="0"/>
              <w:divBdr>
                <w:top w:val="none" w:sz="0" w:space="0" w:color="auto"/>
                <w:left w:val="none" w:sz="0" w:space="0" w:color="auto"/>
                <w:bottom w:val="none" w:sz="0" w:space="0" w:color="auto"/>
                <w:right w:val="none" w:sz="0" w:space="0" w:color="auto"/>
              </w:divBdr>
              <w:divsChild>
                <w:div w:id="2093577352">
                  <w:marLeft w:val="0"/>
                  <w:marRight w:val="0"/>
                  <w:marTop w:val="0"/>
                  <w:marBottom w:val="0"/>
                  <w:divBdr>
                    <w:top w:val="none" w:sz="0" w:space="0" w:color="auto"/>
                    <w:left w:val="none" w:sz="0" w:space="0" w:color="auto"/>
                    <w:bottom w:val="none" w:sz="0" w:space="0" w:color="auto"/>
                    <w:right w:val="none" w:sz="0" w:space="0" w:color="auto"/>
                  </w:divBdr>
                  <w:divsChild>
                    <w:div w:id="628514702">
                      <w:marLeft w:val="0"/>
                      <w:marRight w:val="0"/>
                      <w:marTop w:val="0"/>
                      <w:marBottom w:val="0"/>
                      <w:divBdr>
                        <w:top w:val="none" w:sz="0" w:space="0" w:color="auto"/>
                        <w:left w:val="none" w:sz="0" w:space="0" w:color="auto"/>
                        <w:bottom w:val="none" w:sz="0" w:space="0" w:color="auto"/>
                        <w:right w:val="none" w:sz="0" w:space="0" w:color="auto"/>
                      </w:divBdr>
                      <w:divsChild>
                        <w:div w:id="14975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2013-07-26T05:35:00Z</dcterms:created>
  <dcterms:modified xsi:type="dcterms:W3CDTF">2013-07-26T05:38:00Z</dcterms:modified>
</cp:coreProperties>
</file>