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jc w:val="center"/>
        <w:tblCellSpacing w:w="60" w:type="dxa"/>
        <w:tblCellMar>
          <w:left w:w="0" w:type="dxa"/>
          <w:right w:w="0" w:type="dxa"/>
        </w:tblCellMar>
        <w:tblLook w:val="04A0" w:firstRow="1" w:lastRow="0" w:firstColumn="1" w:lastColumn="0" w:noHBand="0" w:noVBand="1"/>
      </w:tblPr>
      <w:tblGrid>
        <w:gridCol w:w="8375"/>
      </w:tblGrid>
      <w:tr w:rsidR="00CA3D6B" w:rsidRPr="00CA3D6B" w:rsidTr="00CA3D6B">
        <w:trPr>
          <w:tblCellSpacing w:w="6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135"/>
            </w:tblGrid>
            <w:tr w:rsidR="00CA3D6B" w:rsidRPr="00CA3D6B">
              <w:trPr>
                <w:tblCellSpacing w:w="0" w:type="dxa"/>
              </w:trPr>
              <w:tc>
                <w:tcPr>
                  <w:tcW w:w="0" w:type="auto"/>
                  <w:vAlign w:val="center"/>
                  <w:hideMark/>
                </w:tcPr>
                <w:p w:rsidR="00CA3D6B" w:rsidRPr="00CA3D6B" w:rsidRDefault="00CA3D6B" w:rsidP="00CA3D6B">
                  <w:pPr>
                    <w:widowControl/>
                    <w:spacing w:after="240"/>
                    <w:jc w:val="center"/>
                    <w:rPr>
                      <w:rFonts w:ascii="Verdana" w:eastAsia="宋体" w:hAnsi="Verdana" w:cs="宋体"/>
                      <w:color w:val="333333"/>
                      <w:kern w:val="0"/>
                      <w:sz w:val="18"/>
                      <w:szCs w:val="18"/>
                    </w:rPr>
                  </w:pPr>
                  <w:r w:rsidRPr="00CA3D6B">
                    <w:rPr>
                      <w:rFonts w:ascii="Verdana" w:eastAsia="宋体" w:hAnsi="Verdana" w:cs="宋体"/>
                      <w:color w:val="333333"/>
                      <w:kern w:val="0"/>
                      <w:sz w:val="18"/>
                      <w:szCs w:val="18"/>
                    </w:rPr>
                    <w:br/>
                  </w:r>
                  <w:bookmarkStart w:id="0" w:name="_GoBack"/>
                  <w:r w:rsidRPr="00CA3D6B">
                    <w:rPr>
                      <w:rFonts w:ascii="Verdana" w:eastAsia="宋体" w:hAnsi="Verdana" w:cs="宋体"/>
                      <w:b/>
                      <w:bCs/>
                      <w:color w:val="EE9611"/>
                      <w:kern w:val="0"/>
                      <w:sz w:val="24"/>
                      <w:szCs w:val="24"/>
                    </w:rPr>
                    <w:t>（财税</w:t>
                  </w:r>
                  <w:r w:rsidRPr="00CA3D6B">
                    <w:rPr>
                      <w:rFonts w:ascii="Verdana" w:eastAsia="宋体" w:hAnsi="Verdana" w:cs="宋体"/>
                      <w:b/>
                      <w:bCs/>
                      <w:color w:val="EE9611"/>
                      <w:kern w:val="0"/>
                      <w:sz w:val="24"/>
                      <w:szCs w:val="24"/>
                    </w:rPr>
                    <w:t>[2011]133</w:t>
                  </w:r>
                  <w:r w:rsidRPr="00CA3D6B">
                    <w:rPr>
                      <w:rFonts w:ascii="Verdana" w:eastAsia="宋体" w:hAnsi="Verdana" w:cs="宋体"/>
                      <w:b/>
                      <w:bCs/>
                      <w:color w:val="EE9611"/>
                      <w:kern w:val="0"/>
                      <w:sz w:val="24"/>
                      <w:szCs w:val="24"/>
                    </w:rPr>
                    <w:t>号）关于交通运输业和部分现代服务业营业税改征增值税试点若干税收政策的通知</w:t>
                  </w:r>
                  <w:bookmarkEnd w:id="0"/>
                </w:p>
              </w:tc>
            </w:tr>
            <w:tr w:rsidR="00CA3D6B" w:rsidRPr="00CA3D6B">
              <w:trPr>
                <w:trHeight w:val="480"/>
                <w:tblCellSpacing w:w="0" w:type="dxa"/>
              </w:trPr>
              <w:tc>
                <w:tcPr>
                  <w:tcW w:w="0" w:type="auto"/>
                  <w:vAlign w:val="center"/>
                  <w:hideMark/>
                </w:tcPr>
                <w:p w:rsidR="00CA3D6B" w:rsidRPr="00CA3D6B" w:rsidRDefault="00CA3D6B" w:rsidP="00CA3D6B">
                  <w:pPr>
                    <w:widowControl/>
                    <w:jc w:val="center"/>
                    <w:rPr>
                      <w:rFonts w:ascii="Verdana" w:eastAsia="宋体" w:hAnsi="Verdana" w:cs="宋体"/>
                      <w:color w:val="333333"/>
                      <w:kern w:val="0"/>
                      <w:sz w:val="18"/>
                      <w:szCs w:val="18"/>
                    </w:rPr>
                  </w:pPr>
                  <w:r w:rsidRPr="00CA3D6B">
                    <w:rPr>
                      <w:rFonts w:ascii="Verdana" w:eastAsia="宋体" w:hAnsi="Verdana" w:cs="宋体"/>
                      <w:color w:val="333333"/>
                      <w:kern w:val="0"/>
                      <w:sz w:val="18"/>
                      <w:szCs w:val="18"/>
                    </w:rPr>
                    <w:t>2012</w:t>
                  </w:r>
                  <w:r w:rsidRPr="00CA3D6B">
                    <w:rPr>
                      <w:rFonts w:ascii="Verdana" w:eastAsia="宋体" w:hAnsi="Verdana" w:cs="宋体"/>
                      <w:color w:val="333333"/>
                      <w:kern w:val="0"/>
                      <w:sz w:val="18"/>
                      <w:szCs w:val="18"/>
                    </w:rPr>
                    <w:t>年</w:t>
                  </w:r>
                  <w:r w:rsidRPr="00CA3D6B">
                    <w:rPr>
                      <w:rFonts w:ascii="Verdana" w:eastAsia="宋体" w:hAnsi="Verdana" w:cs="宋体"/>
                      <w:color w:val="333333"/>
                      <w:kern w:val="0"/>
                      <w:sz w:val="18"/>
                      <w:szCs w:val="18"/>
                    </w:rPr>
                    <w:t>08</w:t>
                  </w:r>
                  <w:r w:rsidRPr="00CA3D6B">
                    <w:rPr>
                      <w:rFonts w:ascii="Verdana" w:eastAsia="宋体" w:hAnsi="Verdana" w:cs="宋体"/>
                      <w:color w:val="333333"/>
                      <w:kern w:val="0"/>
                      <w:sz w:val="18"/>
                      <w:szCs w:val="18"/>
                    </w:rPr>
                    <w:t>月</w:t>
                  </w:r>
                  <w:r w:rsidRPr="00CA3D6B">
                    <w:rPr>
                      <w:rFonts w:ascii="Verdana" w:eastAsia="宋体" w:hAnsi="Verdana" w:cs="宋体"/>
                      <w:color w:val="333333"/>
                      <w:kern w:val="0"/>
                      <w:sz w:val="18"/>
                      <w:szCs w:val="18"/>
                    </w:rPr>
                    <w:t>30</w:t>
                  </w:r>
                  <w:r w:rsidRPr="00CA3D6B">
                    <w:rPr>
                      <w:rFonts w:ascii="Verdana" w:eastAsia="宋体" w:hAnsi="Verdana" w:cs="宋体"/>
                      <w:color w:val="333333"/>
                      <w:kern w:val="0"/>
                      <w:sz w:val="18"/>
                      <w:szCs w:val="18"/>
                    </w:rPr>
                    <w:t>日</w:t>
                  </w:r>
                  <w:r w:rsidRPr="00CA3D6B">
                    <w:rPr>
                      <w:rFonts w:ascii="Verdana" w:eastAsia="宋体" w:hAnsi="Verdana" w:cs="宋体"/>
                      <w:color w:val="333333"/>
                      <w:kern w:val="0"/>
                      <w:sz w:val="18"/>
                      <w:szCs w:val="18"/>
                    </w:rPr>
                    <w:t xml:space="preserve"> </w:t>
                  </w:r>
                </w:p>
              </w:tc>
            </w:tr>
          </w:tbl>
          <w:p w:rsidR="00CA3D6B" w:rsidRPr="00CA3D6B" w:rsidRDefault="00CA3D6B" w:rsidP="00CA3D6B">
            <w:pPr>
              <w:widowControl/>
              <w:jc w:val="left"/>
              <w:rPr>
                <w:rFonts w:ascii="Verdana" w:eastAsia="宋体" w:hAnsi="Verdana" w:cs="宋体"/>
                <w:color w:val="333333"/>
                <w:kern w:val="0"/>
                <w:sz w:val="18"/>
                <w:szCs w:val="18"/>
              </w:rPr>
            </w:pPr>
          </w:p>
        </w:tc>
      </w:tr>
      <w:tr w:rsidR="00CA3D6B" w:rsidRPr="00CA3D6B" w:rsidTr="00CA3D6B">
        <w:trPr>
          <w:tblCellSpacing w:w="60" w:type="dxa"/>
          <w:jc w:val="center"/>
        </w:trPr>
        <w:tc>
          <w:tcPr>
            <w:tcW w:w="0" w:type="auto"/>
            <w:vAlign w:val="center"/>
            <w:hideMark/>
          </w:tcPr>
          <w:p w:rsidR="00CA3D6B" w:rsidRPr="00CA3D6B" w:rsidRDefault="00CA3D6B" w:rsidP="00CA3D6B">
            <w:pPr>
              <w:widowControl/>
              <w:spacing w:line="600" w:lineRule="exact"/>
              <w:jc w:val="center"/>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财税[2011]133号</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各省、自治区、直辖市、计划单列市财政厅（局）、国家税务局、地方税务局，新疆生产建设兵团财务局：</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现将上海市（以下</w:t>
            </w:r>
            <w:proofErr w:type="gramStart"/>
            <w:r w:rsidRPr="00CA3D6B">
              <w:rPr>
                <w:rFonts w:ascii="仿宋_GB2312" w:eastAsia="仿宋_GB2312" w:hAnsi="宋体" w:cs="宋体" w:hint="eastAsia"/>
                <w:color w:val="000000"/>
                <w:kern w:val="0"/>
                <w:sz w:val="28"/>
                <w:szCs w:val="28"/>
              </w:rPr>
              <w:t>称试点</w:t>
            </w:r>
            <w:proofErr w:type="gramEnd"/>
            <w:r w:rsidRPr="00CA3D6B">
              <w:rPr>
                <w:rFonts w:ascii="仿宋_GB2312" w:eastAsia="仿宋_GB2312" w:hAnsi="宋体" w:cs="宋体" w:hint="eastAsia"/>
                <w:color w:val="000000"/>
                <w:kern w:val="0"/>
                <w:sz w:val="28"/>
                <w:szCs w:val="28"/>
              </w:rPr>
              <w:t>地区）开展交通运输业和部分现代服务业营业税改征增值税试点若干税收政策通知如下：</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一、销售使用过的固定资产</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按照《交通运输业和部分现代服务业营业税改征增值税试点实施办法》（财税[2011]111号，以下简称《试点实施办法》）和《交通运输业和部分现代服务业营业税改征增值税试点有关事项的规定》（财税[2011]111号，以下简称《试点有关事项的规定》）认定的一般纳税人，销售自己使用过的2012年1月1日（含）以后购进或自制的固定资产，按照适用税率征收增值税；销售自己使用过的2011年12月31日（含）以前购进或者自制的固定资产，按照4%征收率减半征收增值税。</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使用过的固定资产，是指纳税人根据财务会计制度已经计提折旧的固定资产。</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二、计税方法</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试点地区的增值税一般纳税人兼有销售货物、提供加工修理修配劳务或者提供应税服务的，凡未规定可以选择按照简易计税方法</w:t>
            </w:r>
            <w:r w:rsidRPr="00CA3D6B">
              <w:rPr>
                <w:rFonts w:ascii="仿宋_GB2312" w:eastAsia="仿宋_GB2312" w:hAnsi="宋体" w:cs="宋体" w:hint="eastAsia"/>
                <w:color w:val="000000"/>
                <w:kern w:val="0"/>
                <w:sz w:val="28"/>
                <w:szCs w:val="28"/>
              </w:rPr>
              <w:lastRenderedPageBreak/>
              <w:t>计算缴纳增值税的，其全部销售额应一并按照一般计税方法计算缴纳增值税。</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三、跨年度业务</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一）试点纳税人（指按照《试点实施办法》缴纳增值税的纳税人，下同）提供应税服务，按照国家有关营业税政策规定差额征收营业税的，因取得的全部价款和价外费用不足以抵减允许扣除项目金额，截至2011年12月31日尚未扣除的部分，不得在计算试点纳税人2012年1月1日后的销售额时予以抵减，应当向主管税务机关申请退还营业税。</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试点纳税人按照《试点有关事项的规定》第一条第（六）项，继续缴纳营业税的有形动产租赁服务，不适用上述规定。</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（二）试点纳税人提供应税服务在2011年底前已缴纳营业税，2012年1月1日后因发生退款减除营业额的，应当向主管税务机关申请退还已缴纳的营业税。</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（三）试点纳税人2011年底前提供的应税服务，因税收检查等原因需要补缴税款的，应按照现行营业税政策规定补缴营业税。</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四、船舶代理服务</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船舶代理服务按照港口码头服务缴纳增值税。</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船舶代理服务，是指接受船舶所有人或者船舶承租人、船舶经营人的委托，经营办理船舶进出港口手续，联系安排引航、靠泊和装卸；代签提单、运输合同，代办接受订舱业务；办理船舶、集装箱以及货物的报关手续；承揽货物、组织货载，办理货物、集装箱</w:t>
            </w:r>
            <w:r w:rsidRPr="00CA3D6B">
              <w:rPr>
                <w:rFonts w:ascii="仿宋_GB2312" w:eastAsia="仿宋_GB2312" w:hAnsi="宋体" w:cs="宋体" w:hint="eastAsia"/>
                <w:color w:val="000000"/>
                <w:kern w:val="0"/>
                <w:sz w:val="28"/>
                <w:szCs w:val="28"/>
              </w:rPr>
              <w:lastRenderedPageBreak/>
              <w:t>的托运和中转；代收运费，代办结算；组织客源，办理有关海上旅客运输业务；其他为船舶提供的相关服务。</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提供船舶代理服务的单位和个人，受船舶所有人、船舶经营人或者船舶承租人委托向运输服务接受方或者运输服务接受方代理人收取的运输服务收入，应当按照水路运输服务缴纳增值税。</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五、销售额</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试点纳税人中的一般纳税人按《试点有关事项的规定》第一条第（三）</w:t>
            </w:r>
            <w:proofErr w:type="gramStart"/>
            <w:r w:rsidRPr="00CA3D6B">
              <w:rPr>
                <w:rFonts w:ascii="仿宋_GB2312" w:eastAsia="仿宋_GB2312" w:hAnsi="宋体" w:cs="宋体" w:hint="eastAsia"/>
                <w:color w:val="000000"/>
                <w:kern w:val="0"/>
                <w:sz w:val="28"/>
                <w:szCs w:val="28"/>
              </w:rPr>
              <w:t>项确定</w:t>
            </w:r>
            <w:proofErr w:type="gramEnd"/>
            <w:r w:rsidRPr="00CA3D6B">
              <w:rPr>
                <w:rFonts w:ascii="仿宋_GB2312" w:eastAsia="仿宋_GB2312" w:hAnsi="宋体" w:cs="宋体" w:hint="eastAsia"/>
                <w:color w:val="000000"/>
                <w:kern w:val="0"/>
                <w:sz w:val="28"/>
                <w:szCs w:val="28"/>
              </w:rPr>
              <w:t>销售额时，其支付给非试点纳税人价款中，不包括已抵扣进项税额的货物、加工修理修配劳务的价款。</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六、扣缴增值税适用税率</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中华人民共和国境内的代理人和接受方为境外单位和个人扣缴增值税的，按照适用税率扣缴增值税。</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七、航空运输企业</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一）除中国东方航空股份有限公司、上海航空有限公司、中国货运航空有限公司、春秋航空股份有限公司、上海吉祥航空股份有限公司、扬子江快运航空有限公司外，其他注册在试点地区的单位从事《试点实施办法》中《应税服务范围注释》规定的航空运输业务，不缴纳增值税，仍按照现行营业税政策规定缴纳营业税。</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（二）提供的旅客利用里程积分兑换的航空运输服务，不征收增值税。</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（三）根据国家指令无偿提供的航空运输服务，属于《试点实施办法》第十一条规定的以公益活动为目的的服务，不征收增值税。</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lastRenderedPageBreak/>
              <w:t xml:space="preserve">　　（四）试点航空企业的应征增值税销售额不包括代收的机场建设费和代售其他航空运输企业客票而代收转付的价款。</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（五）试点航空企业已售票但未提供航空运输服务取得的逾期票证收入，不属于增值税应税收入，不征收增值税。</w:t>
            </w:r>
          </w:p>
          <w:p w:rsidR="00CA3D6B" w:rsidRPr="00CA3D6B" w:rsidRDefault="00CA3D6B" w:rsidP="00CA3D6B">
            <w:pPr>
              <w:widowControl/>
              <w:spacing w:line="600" w:lineRule="exact"/>
              <w:jc w:val="lef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w:t>
            </w:r>
          </w:p>
          <w:p w:rsidR="00CA3D6B" w:rsidRPr="00CA3D6B" w:rsidRDefault="00CA3D6B" w:rsidP="00CA3D6B">
            <w:pPr>
              <w:widowControl/>
              <w:spacing w:line="600" w:lineRule="exact"/>
              <w:jc w:val="righ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财政部 国家税务总局</w:t>
            </w:r>
          </w:p>
          <w:p w:rsidR="00CA3D6B" w:rsidRPr="00CA3D6B" w:rsidRDefault="00CA3D6B" w:rsidP="00CA3D6B">
            <w:pPr>
              <w:widowControl/>
              <w:spacing w:line="600" w:lineRule="exact"/>
              <w:jc w:val="right"/>
              <w:rPr>
                <w:rFonts w:ascii="宋体" w:eastAsia="宋体" w:hAnsi="宋体" w:cs="宋体"/>
                <w:color w:val="333333"/>
                <w:kern w:val="0"/>
                <w:sz w:val="24"/>
                <w:szCs w:val="24"/>
              </w:rPr>
            </w:pPr>
            <w:r w:rsidRPr="00CA3D6B">
              <w:rPr>
                <w:rFonts w:ascii="仿宋_GB2312" w:eastAsia="仿宋_GB2312" w:hAnsi="宋体" w:cs="宋体" w:hint="eastAsia"/>
                <w:color w:val="000000"/>
                <w:kern w:val="0"/>
                <w:sz w:val="28"/>
                <w:szCs w:val="28"/>
              </w:rPr>
              <w:t xml:space="preserve">　　　　　　　　　　　　二</w:t>
            </w:r>
            <w:r w:rsidRPr="00CA3D6B">
              <w:rPr>
                <w:rFonts w:ascii="仿宋_GB2312" w:eastAsia="宋体" w:hAnsi="宋体" w:cs="宋体" w:hint="eastAsia"/>
                <w:color w:val="000000"/>
                <w:kern w:val="0"/>
                <w:sz w:val="28"/>
                <w:szCs w:val="28"/>
              </w:rPr>
              <w:t>〇</w:t>
            </w:r>
            <w:r w:rsidRPr="00CA3D6B">
              <w:rPr>
                <w:rFonts w:ascii="仿宋_GB2312" w:eastAsia="仿宋_GB2312" w:hAnsi="宋体" w:cs="宋体" w:hint="eastAsia"/>
                <w:color w:val="000000"/>
                <w:kern w:val="0"/>
                <w:sz w:val="28"/>
                <w:szCs w:val="28"/>
              </w:rPr>
              <w:t>一一年十二月二十九日</w:t>
            </w:r>
          </w:p>
        </w:tc>
      </w:tr>
    </w:tbl>
    <w:p w:rsidR="00C65FC0" w:rsidRPr="00CA3D6B" w:rsidRDefault="00C65FC0">
      <w:pPr>
        <w:rPr>
          <w:rFonts w:hint="eastAsia"/>
        </w:rPr>
      </w:pPr>
    </w:p>
    <w:sectPr w:rsidR="00C65FC0" w:rsidRPr="00CA3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54"/>
    <w:rsid w:val="00072B54"/>
    <w:rsid w:val="00C65FC0"/>
    <w:rsid w:val="00CA3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3D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3D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85688">
      <w:bodyDiv w:val="1"/>
      <w:marLeft w:val="0"/>
      <w:marRight w:val="0"/>
      <w:marTop w:val="0"/>
      <w:marBottom w:val="0"/>
      <w:divBdr>
        <w:top w:val="none" w:sz="0" w:space="0" w:color="auto"/>
        <w:left w:val="none" w:sz="0" w:space="0" w:color="auto"/>
        <w:bottom w:val="none" w:sz="0" w:space="0" w:color="auto"/>
        <w:right w:val="none" w:sz="0" w:space="0" w:color="auto"/>
      </w:divBdr>
      <w:divsChild>
        <w:div w:id="233126340">
          <w:marLeft w:val="0"/>
          <w:marRight w:val="0"/>
          <w:marTop w:val="0"/>
          <w:marBottom w:val="0"/>
          <w:divBdr>
            <w:top w:val="none" w:sz="0" w:space="0" w:color="auto"/>
            <w:left w:val="none" w:sz="0" w:space="0" w:color="auto"/>
            <w:bottom w:val="none" w:sz="0" w:space="0" w:color="auto"/>
            <w:right w:val="none" w:sz="0" w:space="0" w:color="auto"/>
          </w:divBdr>
          <w:divsChild>
            <w:div w:id="929855533">
              <w:marLeft w:val="0"/>
              <w:marRight w:val="0"/>
              <w:marTop w:val="0"/>
              <w:marBottom w:val="0"/>
              <w:divBdr>
                <w:top w:val="none" w:sz="0" w:space="0" w:color="auto"/>
                <w:left w:val="none" w:sz="0" w:space="0" w:color="auto"/>
                <w:bottom w:val="none" w:sz="0" w:space="0" w:color="auto"/>
                <w:right w:val="none" w:sz="0" w:space="0" w:color="auto"/>
              </w:divBdr>
            </w:div>
            <w:div w:id="2008362221">
              <w:marLeft w:val="0"/>
              <w:marRight w:val="0"/>
              <w:marTop w:val="0"/>
              <w:marBottom w:val="0"/>
              <w:divBdr>
                <w:top w:val="none" w:sz="0" w:space="0" w:color="auto"/>
                <w:left w:val="none" w:sz="0" w:space="0" w:color="auto"/>
                <w:bottom w:val="none" w:sz="0" w:space="0" w:color="auto"/>
                <w:right w:val="none" w:sz="0" w:space="0" w:color="auto"/>
              </w:divBdr>
            </w:div>
            <w:div w:id="336035766">
              <w:marLeft w:val="0"/>
              <w:marRight w:val="0"/>
              <w:marTop w:val="0"/>
              <w:marBottom w:val="0"/>
              <w:divBdr>
                <w:top w:val="none" w:sz="0" w:space="0" w:color="auto"/>
                <w:left w:val="none" w:sz="0" w:space="0" w:color="auto"/>
                <w:bottom w:val="none" w:sz="0" w:space="0" w:color="auto"/>
                <w:right w:val="none" w:sz="0" w:space="0" w:color="auto"/>
              </w:divBdr>
              <w:divsChild>
                <w:div w:id="186882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264</Words>
  <Characters>1507</Characters>
  <Application>Microsoft Office Word</Application>
  <DocSecurity>0</DocSecurity>
  <Lines>12</Lines>
  <Paragraphs>3</Paragraphs>
  <ScaleCrop>false</ScaleCrop>
  <Company>微软中国</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2013-08-15T08:58:00Z</dcterms:created>
  <dcterms:modified xsi:type="dcterms:W3CDTF">2013-08-15T08:59:00Z</dcterms:modified>
</cp:coreProperties>
</file>