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AB" w:rsidRPr="006D28AB" w:rsidRDefault="006D28AB" w:rsidP="006D28AB">
      <w:pPr>
        <w:widowControl/>
        <w:shd w:val="clear" w:color="auto" w:fill="FFFFFF"/>
        <w:spacing w:before="390" w:after="390" w:line="360" w:lineRule="atLeast"/>
        <w:ind w:firstLine="480"/>
        <w:jc w:val="center"/>
        <w:rPr>
          <w:rFonts w:ascii="宋体" w:eastAsia="宋体" w:hAnsi="宋体" w:cs="宋体"/>
          <w:color w:val="252525"/>
          <w:kern w:val="0"/>
          <w:szCs w:val="21"/>
        </w:rPr>
      </w:pPr>
      <w:r w:rsidRPr="006D28AB">
        <w:rPr>
          <w:rFonts w:ascii="宋体" w:eastAsia="宋体" w:hAnsi="宋体" w:cs="宋体" w:hint="eastAsia"/>
          <w:b/>
          <w:bCs/>
          <w:color w:val="252525"/>
          <w:kern w:val="0"/>
          <w:sz w:val="28"/>
          <w:szCs w:val="28"/>
        </w:rPr>
        <w:t>关于营业税改征增值税</w:t>
      </w:r>
      <w:r w:rsidRPr="006D28AB">
        <w:rPr>
          <w:rFonts w:ascii="宋体" w:eastAsia="宋体" w:hAnsi="宋体" w:cs="宋体" w:hint="eastAsia"/>
          <w:b/>
          <w:bCs/>
          <w:color w:val="252525"/>
          <w:kern w:val="0"/>
          <w:sz w:val="28"/>
          <w:szCs w:val="28"/>
        </w:rPr>
        <w:br/>
      </w:r>
      <w:proofErr w:type="gramStart"/>
      <w:r w:rsidRPr="006D28AB">
        <w:rPr>
          <w:rFonts w:ascii="宋体" w:eastAsia="宋体" w:hAnsi="宋体" w:cs="宋体" w:hint="eastAsia"/>
          <w:b/>
          <w:bCs/>
          <w:color w:val="252525"/>
          <w:kern w:val="0"/>
          <w:sz w:val="28"/>
          <w:szCs w:val="28"/>
        </w:rPr>
        <w:t>试点有关</w:t>
      </w:r>
      <w:proofErr w:type="gramEnd"/>
      <w:r w:rsidRPr="006D28AB">
        <w:rPr>
          <w:rFonts w:ascii="宋体" w:eastAsia="宋体" w:hAnsi="宋体" w:cs="宋体" w:hint="eastAsia"/>
          <w:b/>
          <w:bCs/>
          <w:color w:val="252525"/>
          <w:kern w:val="0"/>
          <w:sz w:val="28"/>
          <w:szCs w:val="28"/>
        </w:rPr>
        <w:t>预算管理问题的通知</w:t>
      </w:r>
      <w:r w:rsidRPr="006D28AB">
        <w:rPr>
          <w:rFonts w:ascii="宋体" w:eastAsia="宋体" w:hAnsi="宋体" w:cs="宋体" w:hint="eastAsia"/>
          <w:color w:val="252525"/>
          <w:kern w:val="0"/>
          <w:szCs w:val="21"/>
        </w:rPr>
        <w:br/>
      </w:r>
      <w:r w:rsidRPr="006D28AB">
        <w:rPr>
          <w:rFonts w:ascii="楷体_GB2312" w:eastAsia="楷体_GB2312" w:hAnsi="宋体" w:cs="宋体" w:hint="eastAsia"/>
          <w:color w:val="252525"/>
          <w:kern w:val="0"/>
          <w:szCs w:val="21"/>
        </w:rPr>
        <w:t>财预〔2013〕275号</w:t>
      </w:r>
    </w:p>
    <w:p w:rsidR="006D28AB" w:rsidRPr="006D28AB" w:rsidRDefault="006D28AB" w:rsidP="006D28AB">
      <w:pPr>
        <w:widowControl/>
        <w:shd w:val="clear" w:color="auto" w:fill="FFFFFF"/>
        <w:spacing w:before="390" w:after="390" w:line="360" w:lineRule="atLeast"/>
        <w:ind w:firstLine="480"/>
        <w:rPr>
          <w:rFonts w:ascii="宋体" w:eastAsia="宋体" w:hAnsi="宋体" w:cs="宋体" w:hint="eastAsia"/>
          <w:color w:val="252525"/>
          <w:kern w:val="0"/>
          <w:szCs w:val="21"/>
        </w:rPr>
      </w:pPr>
      <w:r w:rsidRPr="006D28AB">
        <w:rPr>
          <w:rFonts w:ascii="宋体" w:eastAsia="宋体" w:hAnsi="宋体" w:cs="宋体" w:hint="eastAsia"/>
          <w:color w:val="252525"/>
          <w:kern w:val="0"/>
          <w:szCs w:val="21"/>
        </w:rPr>
        <w:t>各省、自治区、直辖市、计划单列市财政厅（局）、国家税务局、</w:t>
      </w:r>
      <w:bookmarkStart w:id="0" w:name="_GoBack"/>
      <w:bookmarkEnd w:id="0"/>
      <w:r w:rsidRPr="006D28AB">
        <w:rPr>
          <w:rFonts w:ascii="宋体" w:eastAsia="宋体" w:hAnsi="宋体" w:cs="宋体" w:hint="eastAsia"/>
          <w:color w:val="252525"/>
          <w:kern w:val="0"/>
          <w:szCs w:val="21"/>
        </w:rPr>
        <w:t>地方税务局，新疆生产建设兵团财务局，中国人民银行上海总部、各分行、营业管理部、省会（首府）城市中心支行、大连、青岛、宁波、厦门、深圳市中心支行，财政部驻各省、直辖市、计划单列市财政监察专员办事处：</w:t>
      </w:r>
      <w:r w:rsidRPr="006D28AB">
        <w:rPr>
          <w:rFonts w:ascii="宋体" w:eastAsia="宋体" w:hAnsi="宋体" w:cs="宋体" w:hint="eastAsia"/>
          <w:color w:val="252525"/>
          <w:kern w:val="0"/>
          <w:szCs w:val="21"/>
        </w:rPr>
        <w:br/>
        <w:t xml:space="preserve">　　经国务院批准，自2013年8月1日起，在全国范围内开展交通运输业和部分现代服务业营业税改征增值税试点，为做好试点期间营业税改征增值税（以下简称改征增值税）的预算管理工作，现就有关事宜通知如下：</w:t>
      </w:r>
      <w:r w:rsidRPr="006D28AB">
        <w:rPr>
          <w:rFonts w:ascii="宋体" w:eastAsia="宋体" w:hAnsi="宋体" w:cs="宋体" w:hint="eastAsia"/>
          <w:color w:val="252525"/>
          <w:kern w:val="0"/>
          <w:szCs w:val="21"/>
        </w:rPr>
        <w:br/>
        <w:t xml:space="preserve">　　</w:t>
      </w:r>
      <w:r w:rsidRPr="006D28AB">
        <w:rPr>
          <w:rFonts w:ascii="宋体" w:eastAsia="宋体" w:hAnsi="宋体" w:cs="宋体" w:hint="eastAsia"/>
          <w:b/>
          <w:bCs/>
          <w:color w:val="252525"/>
          <w:kern w:val="0"/>
          <w:szCs w:val="21"/>
        </w:rPr>
        <w:t>一、关于改征增值税的收入划分</w:t>
      </w:r>
      <w:r w:rsidRPr="006D28AB">
        <w:rPr>
          <w:rFonts w:ascii="宋体" w:eastAsia="宋体" w:hAnsi="宋体" w:cs="宋体" w:hint="eastAsia"/>
          <w:color w:val="252525"/>
          <w:kern w:val="0"/>
          <w:szCs w:val="21"/>
        </w:rPr>
        <w:br/>
        <w:t xml:space="preserve">　　试点期间收入归属保持不变，原归属地方的营业税收入，改征增值税后仍全部归属地方，改征增值税税款滞纳金、罚款收入也全部归属地方。按照即征即退政策审批退库的改征增值税，全部由地方财政负担。改征增值税收入不计入中央对地方增值税和消费税税收返还基数。试点期间因营业税改征增值税试点发生的财政收入变化，由中央和地方按照现行财政体制相关规定分享或分担。</w:t>
      </w:r>
      <w:r w:rsidRPr="006D28AB">
        <w:rPr>
          <w:rFonts w:ascii="宋体" w:eastAsia="宋体" w:hAnsi="宋体" w:cs="宋体" w:hint="eastAsia"/>
          <w:color w:val="252525"/>
          <w:kern w:val="0"/>
          <w:szCs w:val="21"/>
        </w:rPr>
        <w:br/>
        <w:t xml:space="preserve">　　改征增值税试点前服务贸易出口原免征营业税部分仍由地方负担，新增加的改征增值税出口退税按照现行财政体制由中央与地方按92.5：7.5的比例负担，地方应负担的部分通过年终结算据实上解中央。</w:t>
      </w:r>
      <w:r w:rsidRPr="006D28AB">
        <w:rPr>
          <w:rFonts w:ascii="宋体" w:eastAsia="宋体" w:hAnsi="宋体" w:cs="宋体" w:hint="eastAsia"/>
          <w:color w:val="252525"/>
          <w:kern w:val="0"/>
          <w:szCs w:val="21"/>
        </w:rPr>
        <w:br/>
        <w:t xml:space="preserve">　　</w:t>
      </w:r>
      <w:r w:rsidRPr="006D28AB">
        <w:rPr>
          <w:rFonts w:ascii="宋体" w:eastAsia="宋体" w:hAnsi="宋体" w:cs="宋体" w:hint="eastAsia"/>
          <w:b/>
          <w:bCs/>
          <w:color w:val="252525"/>
          <w:kern w:val="0"/>
          <w:szCs w:val="21"/>
        </w:rPr>
        <w:t>二、关于改征增值税适用的科目</w:t>
      </w:r>
      <w:r w:rsidRPr="006D28AB">
        <w:rPr>
          <w:rFonts w:ascii="宋体" w:eastAsia="宋体" w:hAnsi="宋体" w:cs="宋体" w:hint="eastAsia"/>
          <w:color w:val="252525"/>
          <w:kern w:val="0"/>
          <w:szCs w:val="21"/>
        </w:rPr>
        <w:br/>
        <w:t xml:space="preserve">　　改征增值税的收缴、退库和调库，按照下表所列的科目执行：</w:t>
      </w:r>
    </w:p>
    <w:tbl>
      <w:tblPr>
        <w:tblW w:w="8661" w:type="dxa"/>
        <w:jc w:val="center"/>
        <w:tblCellMar>
          <w:left w:w="0" w:type="dxa"/>
          <w:right w:w="0" w:type="dxa"/>
        </w:tblCellMar>
        <w:tblLook w:val="04A0" w:firstRow="1" w:lastRow="0" w:firstColumn="1" w:lastColumn="0" w:noHBand="0" w:noVBand="1"/>
      </w:tblPr>
      <w:tblGrid>
        <w:gridCol w:w="576"/>
        <w:gridCol w:w="456"/>
        <w:gridCol w:w="456"/>
        <w:gridCol w:w="456"/>
        <w:gridCol w:w="2890"/>
        <w:gridCol w:w="3827"/>
      </w:tblGrid>
      <w:tr w:rsidR="006D28AB" w:rsidRPr="006D28AB" w:rsidTr="006D28AB">
        <w:trPr>
          <w:trHeight w:val="420"/>
          <w:jc w:val="center"/>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宋体" w:eastAsia="宋体" w:hAnsi="宋体" w:cs="宋体" w:hint="eastAsia"/>
                <w:b/>
                <w:bCs/>
                <w:color w:val="252525"/>
                <w:kern w:val="0"/>
                <w:sz w:val="20"/>
                <w:szCs w:val="20"/>
              </w:rPr>
              <w:t>类</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宋体" w:eastAsia="宋体" w:hAnsi="宋体" w:cs="宋体" w:hint="eastAsia"/>
                <w:b/>
                <w:bCs/>
                <w:color w:val="252525"/>
                <w:kern w:val="0"/>
                <w:sz w:val="20"/>
                <w:szCs w:val="20"/>
              </w:rPr>
              <w:t>款</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宋体" w:eastAsia="宋体" w:hAnsi="宋体" w:cs="宋体" w:hint="eastAsia"/>
                <w:b/>
                <w:bCs/>
                <w:color w:val="252525"/>
                <w:kern w:val="0"/>
                <w:sz w:val="20"/>
                <w:szCs w:val="20"/>
              </w:rPr>
              <w:t>项</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宋体" w:eastAsia="宋体" w:hAnsi="宋体" w:cs="宋体" w:hint="eastAsia"/>
                <w:b/>
                <w:bCs/>
                <w:color w:val="252525"/>
                <w:kern w:val="0"/>
                <w:sz w:val="20"/>
                <w:szCs w:val="20"/>
              </w:rPr>
              <w:t>目</w:t>
            </w:r>
          </w:p>
        </w:tc>
        <w:tc>
          <w:tcPr>
            <w:tcW w:w="2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宋体" w:eastAsia="宋体" w:hAnsi="宋体" w:cs="宋体" w:hint="eastAsia"/>
                <w:b/>
                <w:bCs/>
                <w:color w:val="252525"/>
                <w:kern w:val="0"/>
                <w:sz w:val="20"/>
                <w:szCs w:val="20"/>
              </w:rPr>
              <w:t>科目名称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宋体" w:eastAsia="宋体" w:hAnsi="宋体" w:cs="宋体" w:hint="eastAsia"/>
                <w:b/>
                <w:bCs/>
                <w:color w:val="252525"/>
                <w:kern w:val="0"/>
                <w:sz w:val="20"/>
                <w:szCs w:val="20"/>
              </w:rPr>
              <w:t>科目说明</w:t>
            </w:r>
          </w:p>
        </w:tc>
      </w:tr>
      <w:tr w:rsidR="006D28AB" w:rsidRPr="006D28AB" w:rsidTr="006D28AB">
        <w:trPr>
          <w:trHeight w:val="55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101</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01</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04</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改征增值税</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反映实施营业税改征增值税试点期间由营业税改征的增值税。</w:t>
            </w:r>
          </w:p>
        </w:tc>
      </w:tr>
      <w:tr w:rsidR="006D28AB" w:rsidRPr="006D28AB" w:rsidTr="006D28AB">
        <w:trPr>
          <w:trHeight w:val="585"/>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01</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改征增值税</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地方收入科目。反映实施营业税改征增值税试点期间由营业税改征的增值税。</w:t>
            </w:r>
          </w:p>
        </w:tc>
      </w:tr>
      <w:tr w:rsidR="006D28AB" w:rsidRPr="006D28AB" w:rsidTr="006D28AB">
        <w:trPr>
          <w:trHeight w:val="585"/>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20</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改征增值税税款滞纳金、罚款收入</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地方收入科目。反映改征增值税税款滞纳金、罚款收入。</w:t>
            </w:r>
          </w:p>
        </w:tc>
      </w:tr>
      <w:tr w:rsidR="006D28AB" w:rsidRPr="006D28AB" w:rsidTr="006D28AB">
        <w:trPr>
          <w:trHeight w:val="585"/>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29</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改征增值税国内退税</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地方收入退库科目。反映国家税务局按照即征即退政策审批退库的改征增值税。</w:t>
            </w:r>
          </w:p>
        </w:tc>
      </w:tr>
      <w:tr w:rsidR="006D28AB" w:rsidRPr="006D28AB" w:rsidTr="006D28AB">
        <w:trPr>
          <w:trHeight w:val="854"/>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61</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w:t>
            </w:r>
            <w:r w:rsidRPr="006D28AB">
              <w:rPr>
                <w:rFonts w:ascii="宋体" w:eastAsia="宋体" w:hAnsi="宋体" w:cs="宋体"/>
                <w:color w:val="252525"/>
                <w:kern w:val="0"/>
                <w:sz w:val="18"/>
                <w:szCs w:val="18"/>
              </w:rPr>
              <w:t xml:space="preserve"> </w:t>
            </w:r>
            <w:r w:rsidRPr="006D28AB">
              <w:rPr>
                <w:rFonts w:ascii="仿宋_GB2312" w:eastAsia="仿宋_GB2312" w:hAnsi="宋体" w:cs="宋体" w:hint="eastAsia"/>
                <w:color w:val="252525"/>
                <w:kern w:val="0"/>
                <w:sz w:val="24"/>
                <w:szCs w:val="24"/>
              </w:rPr>
              <w:t>免抵调增改征增值税</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地方收入科目。反映实行“免、抵、退”</w:t>
            </w:r>
            <w:proofErr w:type="gramStart"/>
            <w:r w:rsidRPr="006D28AB">
              <w:rPr>
                <w:rFonts w:ascii="仿宋_GB2312" w:eastAsia="仿宋_GB2312" w:hAnsi="宋体" w:cs="宋体" w:hint="eastAsia"/>
                <w:color w:val="252525"/>
                <w:kern w:val="0"/>
                <w:sz w:val="24"/>
                <w:szCs w:val="24"/>
              </w:rPr>
              <w:t>税办法按免</w:t>
            </w:r>
            <w:proofErr w:type="gramEnd"/>
            <w:r w:rsidRPr="006D28AB">
              <w:rPr>
                <w:rFonts w:ascii="仿宋_GB2312" w:eastAsia="仿宋_GB2312" w:hAnsi="宋体" w:cs="宋体" w:hint="eastAsia"/>
                <w:color w:val="252525"/>
                <w:kern w:val="0"/>
                <w:sz w:val="24"/>
                <w:szCs w:val="24"/>
              </w:rPr>
              <w:t>抵数额调增的由营业税改征的增值税。</w:t>
            </w:r>
          </w:p>
        </w:tc>
      </w:tr>
      <w:tr w:rsidR="006D28AB" w:rsidRPr="006D28AB" w:rsidTr="006D28AB">
        <w:trPr>
          <w:trHeight w:val="585"/>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lastRenderedPageBreak/>
              <w:t>101</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01</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05</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改征增值税出口退税</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反映从中央国库办理的改征增值税出口退税和按“免、抵、退”</w:t>
            </w:r>
            <w:proofErr w:type="gramStart"/>
            <w:r w:rsidRPr="006D28AB">
              <w:rPr>
                <w:rFonts w:ascii="仿宋_GB2312" w:eastAsia="仿宋_GB2312" w:hAnsi="宋体" w:cs="宋体" w:hint="eastAsia"/>
                <w:color w:val="252525"/>
                <w:kern w:val="0"/>
                <w:sz w:val="24"/>
                <w:szCs w:val="24"/>
              </w:rPr>
              <w:t>税办法</w:t>
            </w:r>
            <w:proofErr w:type="gramEnd"/>
            <w:r w:rsidRPr="006D28AB">
              <w:rPr>
                <w:rFonts w:ascii="仿宋_GB2312" w:eastAsia="仿宋_GB2312" w:hAnsi="宋体" w:cs="宋体" w:hint="eastAsia"/>
                <w:color w:val="252525"/>
                <w:kern w:val="0"/>
                <w:sz w:val="24"/>
                <w:szCs w:val="24"/>
              </w:rPr>
              <w:t>调减的改征增值税。</w:t>
            </w:r>
          </w:p>
        </w:tc>
      </w:tr>
      <w:tr w:rsidR="006D28AB" w:rsidRPr="006D28AB" w:rsidTr="006D28AB">
        <w:trPr>
          <w:trHeight w:val="585"/>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01</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改征增值税出口退税</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中央收入退库科目。反映从中央国库办理的改征增值税出口退税。</w:t>
            </w:r>
          </w:p>
        </w:tc>
      </w:tr>
      <w:tr w:rsidR="006D28AB" w:rsidRPr="006D28AB" w:rsidTr="006D28AB">
        <w:trPr>
          <w:trHeight w:val="585"/>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 xml:space="preserve">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02</w:t>
            </w:r>
          </w:p>
        </w:tc>
        <w:tc>
          <w:tcPr>
            <w:tcW w:w="2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center"/>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免抵调减改征增值税</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28AB" w:rsidRPr="006D28AB" w:rsidRDefault="006D28AB" w:rsidP="006D28AB">
            <w:pPr>
              <w:widowControl/>
              <w:jc w:val="left"/>
              <w:rPr>
                <w:rFonts w:ascii="宋体" w:eastAsia="宋体" w:hAnsi="宋体" w:cs="宋体"/>
                <w:color w:val="252525"/>
                <w:kern w:val="0"/>
                <w:sz w:val="18"/>
                <w:szCs w:val="18"/>
              </w:rPr>
            </w:pPr>
            <w:r w:rsidRPr="006D28AB">
              <w:rPr>
                <w:rFonts w:ascii="仿宋_GB2312" w:eastAsia="仿宋_GB2312" w:hAnsi="宋体" w:cs="宋体" w:hint="eastAsia"/>
                <w:color w:val="252525"/>
                <w:kern w:val="0"/>
                <w:sz w:val="24"/>
                <w:szCs w:val="24"/>
              </w:rPr>
              <w:t>中央收入科目。反映实行“免、抵、退”</w:t>
            </w:r>
            <w:proofErr w:type="gramStart"/>
            <w:r w:rsidRPr="006D28AB">
              <w:rPr>
                <w:rFonts w:ascii="仿宋_GB2312" w:eastAsia="仿宋_GB2312" w:hAnsi="宋体" w:cs="宋体" w:hint="eastAsia"/>
                <w:color w:val="252525"/>
                <w:kern w:val="0"/>
                <w:sz w:val="24"/>
                <w:szCs w:val="24"/>
              </w:rPr>
              <w:t>税办法按免</w:t>
            </w:r>
            <w:proofErr w:type="gramEnd"/>
            <w:r w:rsidRPr="006D28AB">
              <w:rPr>
                <w:rFonts w:ascii="仿宋_GB2312" w:eastAsia="仿宋_GB2312" w:hAnsi="宋体" w:cs="宋体" w:hint="eastAsia"/>
                <w:color w:val="252525"/>
                <w:kern w:val="0"/>
                <w:sz w:val="24"/>
                <w:szCs w:val="24"/>
              </w:rPr>
              <w:t>抵数额调减的改征增值税。</w:t>
            </w:r>
          </w:p>
        </w:tc>
      </w:tr>
    </w:tbl>
    <w:p w:rsidR="00F51582" w:rsidRDefault="006D28AB">
      <w:pPr>
        <w:rPr>
          <w:rFonts w:hint="eastAsia"/>
        </w:rPr>
      </w:pPr>
      <w:r w:rsidRPr="006D28AB">
        <w:rPr>
          <w:rFonts w:ascii="宋体" w:eastAsia="宋体" w:hAnsi="宋体" w:cs="宋体" w:hint="eastAsia"/>
          <w:color w:val="252525"/>
          <w:kern w:val="0"/>
          <w:szCs w:val="21"/>
        </w:rPr>
        <w:t xml:space="preserve">　　</w:t>
      </w:r>
      <w:r w:rsidRPr="006D28AB">
        <w:rPr>
          <w:rFonts w:ascii="宋体" w:eastAsia="宋体" w:hAnsi="宋体" w:cs="宋体" w:hint="eastAsia"/>
          <w:b/>
          <w:bCs/>
          <w:color w:val="252525"/>
          <w:kern w:val="0"/>
          <w:szCs w:val="21"/>
        </w:rPr>
        <w:t>三、关于改征增值税的收入缴库</w:t>
      </w:r>
      <w:r w:rsidRPr="006D28AB">
        <w:rPr>
          <w:rFonts w:ascii="宋体" w:eastAsia="宋体" w:hAnsi="宋体" w:cs="宋体" w:hint="eastAsia"/>
          <w:color w:val="252525"/>
          <w:kern w:val="0"/>
          <w:szCs w:val="21"/>
        </w:rPr>
        <w:br/>
        <w:t xml:space="preserve">　　试点期间改征增值税收入上缴时，各级国税部门应根据纳税人申报情况在税收缴款书上单独填列，预算级次填列“地方级”。具体缴库流程按照《中华人民共和国国家金库条例实施细则》有关规定执行，采用电子缴库方式的，按照财税库</w:t>
      </w:r>
      <w:proofErr w:type="gramStart"/>
      <w:r w:rsidRPr="006D28AB">
        <w:rPr>
          <w:rFonts w:ascii="宋体" w:eastAsia="宋体" w:hAnsi="宋体" w:cs="宋体" w:hint="eastAsia"/>
          <w:color w:val="252525"/>
          <w:kern w:val="0"/>
          <w:szCs w:val="21"/>
        </w:rPr>
        <w:t>银税收</w:t>
      </w:r>
      <w:proofErr w:type="gramEnd"/>
      <w:r w:rsidRPr="006D28AB">
        <w:rPr>
          <w:rFonts w:ascii="宋体" w:eastAsia="宋体" w:hAnsi="宋体" w:cs="宋体" w:hint="eastAsia"/>
          <w:color w:val="252525"/>
          <w:kern w:val="0"/>
          <w:szCs w:val="21"/>
        </w:rPr>
        <w:t>收入电子缴库有关规定执行。补缴或退还试点前实现的相关营业税，仍通过试点前的有关科目办理。</w:t>
      </w:r>
      <w:r w:rsidRPr="006D28AB">
        <w:rPr>
          <w:rFonts w:ascii="宋体" w:eastAsia="宋体" w:hAnsi="宋体" w:cs="宋体" w:hint="eastAsia"/>
          <w:color w:val="252525"/>
          <w:kern w:val="0"/>
          <w:szCs w:val="21"/>
        </w:rPr>
        <w:br/>
        <w:t xml:space="preserve">　　</w:t>
      </w:r>
      <w:r w:rsidRPr="006D28AB">
        <w:rPr>
          <w:rFonts w:ascii="宋体" w:eastAsia="宋体" w:hAnsi="宋体" w:cs="宋体" w:hint="eastAsia"/>
          <w:b/>
          <w:bCs/>
          <w:color w:val="252525"/>
          <w:kern w:val="0"/>
          <w:szCs w:val="21"/>
        </w:rPr>
        <w:t>四、关于改征增值税的收入退库</w:t>
      </w:r>
      <w:r w:rsidRPr="006D28AB">
        <w:rPr>
          <w:rFonts w:ascii="宋体" w:eastAsia="宋体" w:hAnsi="宋体" w:cs="宋体" w:hint="eastAsia"/>
          <w:color w:val="252525"/>
          <w:kern w:val="0"/>
          <w:szCs w:val="21"/>
        </w:rPr>
        <w:br/>
        <w:t xml:space="preserve">　　按照即征即退政策审批退库的改征增值税比照现行增值税即征即退流程办理。</w:t>
      </w:r>
      <w:r w:rsidRPr="006D28AB">
        <w:rPr>
          <w:rFonts w:ascii="宋体" w:eastAsia="宋体" w:hAnsi="宋体" w:cs="宋体" w:hint="eastAsia"/>
          <w:color w:val="252525"/>
          <w:kern w:val="0"/>
          <w:szCs w:val="21"/>
        </w:rPr>
        <w:br/>
        <w:t xml:space="preserve">　　根据国家税务总局公告2012年第13号《营业税改征增值税试点地区适用增值税零税率应税服务免抵退税管理办法（暂行）》，营业税改征增值税试点期间，服务贸易出口适用增值税零税率的，采用“免抵退税”办法，即零税率应税服务提供者提供零税率应税服务，免征增值税，相应的进项税额抵减应纳增值税额，未抵减完的部分予以退还，退税资金由中央国库统一支付。税务部门将审核通过的上述免抵税数额，以正式文件通知同级国库办理调库。调库的具体方法是：按零税率应税服务的免抵税数额，调增由营业税改征的增值税，同时相应增加中央出口退税。各级国库依据税务部门开具的更正（调库）通知书、收入退还书等凭证和文件办理相关业务。</w:t>
      </w:r>
      <w:r w:rsidRPr="006D28AB">
        <w:rPr>
          <w:rFonts w:ascii="宋体" w:eastAsia="宋体" w:hAnsi="宋体" w:cs="宋体" w:hint="eastAsia"/>
          <w:color w:val="252525"/>
          <w:kern w:val="0"/>
          <w:szCs w:val="21"/>
        </w:rPr>
        <w:br/>
        <w:t xml:space="preserve">　　</w:t>
      </w:r>
      <w:r w:rsidRPr="006D28AB">
        <w:rPr>
          <w:rFonts w:ascii="宋体" w:eastAsia="宋体" w:hAnsi="宋体" w:cs="宋体" w:hint="eastAsia"/>
          <w:b/>
          <w:bCs/>
          <w:color w:val="252525"/>
          <w:kern w:val="0"/>
          <w:szCs w:val="21"/>
        </w:rPr>
        <w:t>五、其他事宜</w:t>
      </w:r>
      <w:r w:rsidRPr="006D28AB">
        <w:rPr>
          <w:rFonts w:ascii="宋体" w:eastAsia="宋体" w:hAnsi="宋体" w:cs="宋体" w:hint="eastAsia"/>
          <w:color w:val="252525"/>
          <w:kern w:val="0"/>
          <w:szCs w:val="21"/>
        </w:rPr>
        <w:br/>
        <w:t xml:space="preserve">　　纳税人兼有适用一般计税方法计税的应税服务、销售货物或应税劳务的，按照销项税额的比例划分应纳税额，分别作为改征增值税和现行增值税收入入库。</w:t>
      </w:r>
      <w:r w:rsidRPr="006D28AB">
        <w:rPr>
          <w:rFonts w:ascii="宋体" w:eastAsia="宋体" w:hAnsi="宋体" w:cs="宋体" w:hint="eastAsia"/>
          <w:color w:val="252525"/>
          <w:kern w:val="0"/>
          <w:szCs w:val="21"/>
        </w:rPr>
        <w:br/>
        <w:t xml:space="preserve">　　各级财税部门、人民银行国库部门应当认真做好改征增值税的收入收缴工作，明确区分改征增值税与现行增值税收入，防止收入混库，确保试点顺利实施。</w:t>
      </w:r>
      <w:r w:rsidRPr="006D28AB">
        <w:rPr>
          <w:rFonts w:ascii="宋体" w:eastAsia="宋体" w:hAnsi="宋体" w:cs="宋体" w:hint="eastAsia"/>
          <w:color w:val="252525"/>
          <w:kern w:val="0"/>
          <w:szCs w:val="21"/>
        </w:rPr>
        <w:br/>
        <w:t xml:space="preserve">　　财政部驻各省、自治区、直辖市、计划单列市财政监察专员办事处应加强监督检查。对于检查中发现的违法行为，依照《财政违法行为处罚处分条例》（国务院令第427号）等有关规定追究责任。</w:t>
      </w:r>
      <w:r w:rsidRPr="006D28AB">
        <w:rPr>
          <w:rFonts w:ascii="宋体" w:eastAsia="宋体" w:hAnsi="宋体" w:cs="宋体" w:hint="eastAsia"/>
          <w:color w:val="252525"/>
          <w:kern w:val="0"/>
          <w:szCs w:val="21"/>
        </w:rPr>
        <w:br/>
        <w:t xml:space="preserve">　　本通知自2013年8月1日起执行。《财政部 中国人民银行 国家税务总局关于上海市开展营业税改征增值税试点有关预算管理问题的通知》（财预〔2011〕538号）、《财政部 中国人民银行 国家税务总局关于营业税改征增值税试点有关预算管理问题的通知》（财预〔2012〕367号）、《财政部关于营业税改征增值税试点期间服务贸易出口退税有关问题的通知》（财预〔2012〕372号）同时废止。</w:t>
      </w:r>
      <w:r w:rsidRPr="006D28AB">
        <w:rPr>
          <w:rFonts w:ascii="宋体" w:eastAsia="宋体" w:hAnsi="宋体" w:cs="宋体" w:hint="eastAsia"/>
          <w:color w:val="252525"/>
          <w:kern w:val="0"/>
          <w:szCs w:val="21"/>
        </w:rPr>
        <w:br/>
        <w:t xml:space="preserve">　　　　　　　　　　　　　　　　　　　　财政部 中国人民银行 国家税务总局</w:t>
      </w:r>
      <w:r w:rsidRPr="006D28AB">
        <w:rPr>
          <w:rFonts w:ascii="宋体" w:eastAsia="宋体" w:hAnsi="宋体" w:cs="宋体" w:hint="eastAsia"/>
          <w:color w:val="252525"/>
          <w:kern w:val="0"/>
          <w:szCs w:val="21"/>
        </w:rPr>
        <w:br/>
      </w:r>
      <w:proofErr w:type="gramStart"/>
      <w:r w:rsidRPr="006D28AB">
        <w:rPr>
          <w:rFonts w:ascii="宋体" w:eastAsia="宋体" w:hAnsi="宋体" w:cs="宋体" w:hint="eastAsia"/>
          <w:color w:val="252525"/>
          <w:kern w:val="0"/>
          <w:szCs w:val="21"/>
        </w:rPr>
        <w:t xml:space="preserve">　　　　　　　　　　　　　　　　　　　　　　　　　</w:t>
      </w:r>
      <w:proofErr w:type="gramEnd"/>
      <w:r w:rsidRPr="006D28AB">
        <w:rPr>
          <w:rFonts w:ascii="宋体" w:eastAsia="宋体" w:hAnsi="宋体" w:cs="宋体" w:hint="eastAsia"/>
          <w:color w:val="252525"/>
          <w:kern w:val="0"/>
          <w:szCs w:val="21"/>
        </w:rPr>
        <w:t>2013年6月28日</w:t>
      </w:r>
    </w:p>
    <w:sectPr w:rsidR="00F51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63"/>
    <w:rsid w:val="00565663"/>
    <w:rsid w:val="006D28AB"/>
    <w:rsid w:val="00F5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28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2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8035">
      <w:bodyDiv w:val="1"/>
      <w:marLeft w:val="0"/>
      <w:marRight w:val="0"/>
      <w:marTop w:val="0"/>
      <w:marBottom w:val="0"/>
      <w:divBdr>
        <w:top w:val="none" w:sz="0" w:space="0" w:color="auto"/>
        <w:left w:val="none" w:sz="0" w:space="0" w:color="auto"/>
        <w:bottom w:val="none" w:sz="0" w:space="0" w:color="auto"/>
        <w:right w:val="none" w:sz="0" w:space="0" w:color="auto"/>
      </w:divBdr>
      <w:divsChild>
        <w:div w:id="624238068">
          <w:marLeft w:val="0"/>
          <w:marRight w:val="0"/>
          <w:marTop w:val="0"/>
          <w:marBottom w:val="0"/>
          <w:divBdr>
            <w:top w:val="none" w:sz="0" w:space="0" w:color="auto"/>
            <w:left w:val="none" w:sz="0" w:space="0" w:color="auto"/>
            <w:bottom w:val="none" w:sz="0" w:space="0" w:color="auto"/>
            <w:right w:val="none" w:sz="0" w:space="0" w:color="auto"/>
          </w:divBdr>
          <w:divsChild>
            <w:div w:id="181744224">
              <w:marLeft w:val="0"/>
              <w:marRight w:val="0"/>
              <w:marTop w:val="0"/>
              <w:marBottom w:val="0"/>
              <w:divBdr>
                <w:top w:val="none" w:sz="0" w:space="0" w:color="auto"/>
                <w:left w:val="none" w:sz="0" w:space="0" w:color="auto"/>
                <w:bottom w:val="none" w:sz="0" w:space="0" w:color="auto"/>
                <w:right w:val="none" w:sz="0" w:space="0" w:color="auto"/>
              </w:divBdr>
              <w:divsChild>
                <w:div w:id="1307590160">
                  <w:marLeft w:val="0"/>
                  <w:marRight w:val="0"/>
                  <w:marTop w:val="0"/>
                  <w:marBottom w:val="0"/>
                  <w:divBdr>
                    <w:top w:val="none" w:sz="0" w:space="0" w:color="auto"/>
                    <w:left w:val="none" w:sz="0" w:space="0" w:color="auto"/>
                    <w:bottom w:val="none" w:sz="0" w:space="0" w:color="auto"/>
                    <w:right w:val="none" w:sz="0" w:space="0" w:color="auto"/>
                  </w:divBdr>
                  <w:divsChild>
                    <w:div w:id="294580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1771</Characters>
  <Application>Microsoft Office Word</Application>
  <DocSecurity>0</DocSecurity>
  <Lines>14</Lines>
  <Paragraphs>4</Paragraphs>
  <ScaleCrop>false</ScaleCrop>
  <Company>微软中国</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2013-08-12T06:51:00Z</dcterms:created>
  <dcterms:modified xsi:type="dcterms:W3CDTF">2013-08-12T06:52:00Z</dcterms:modified>
</cp:coreProperties>
</file>