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74C23" w:rsidRPr="00974C23" w:rsidTr="00974C23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74C23" w:rsidRPr="00974C23" w:rsidRDefault="00974C23" w:rsidP="00974C23">
            <w:pPr>
              <w:widowControl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74C23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财政部 国家税务总局</w:t>
            </w:r>
            <w:r w:rsidRPr="00974C2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   </w:t>
            </w:r>
          </w:p>
        </w:tc>
      </w:tr>
      <w:tr w:rsidR="00974C23" w:rsidRPr="00974C23" w:rsidTr="00974C23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974C23" w:rsidRPr="00974C23" w:rsidRDefault="00974C23" w:rsidP="00974C23">
            <w:pPr>
              <w:widowControl/>
              <w:jc w:val="center"/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</w:pPr>
            <w:r w:rsidRPr="00974C2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关于</w:t>
            </w:r>
            <w:r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中国农业银行三</w:t>
            </w:r>
            <w:proofErr w:type="gramStart"/>
            <w:r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农金融事业部试点</w:t>
            </w:r>
            <w:proofErr w:type="gramEnd"/>
            <w:r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县域支行涉农贷款营业税优惠政策的</w:t>
            </w:r>
            <w:r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通知</w:t>
            </w:r>
          </w:p>
        </w:tc>
      </w:tr>
      <w:tr w:rsidR="00974C23" w:rsidRPr="00974C23" w:rsidTr="00974C2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974C23" w:rsidRPr="00974C23" w:rsidRDefault="00974C23" w:rsidP="00974C23">
            <w:pPr>
              <w:widowControl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74C2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财税[2010]116号</w:t>
            </w:r>
          </w:p>
        </w:tc>
      </w:tr>
      <w:tr w:rsidR="00974C23" w:rsidRPr="00974C23" w:rsidTr="00974C2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5"/>
            </w:tblGrid>
            <w:tr w:rsidR="00974C23" w:rsidRPr="00974C2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4C23" w:rsidRPr="00974C23" w:rsidRDefault="00974C23" w:rsidP="00974C23">
                  <w:pPr>
                    <w:widowControl/>
                    <w:jc w:val="right"/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>成文日期：2010-12-31</w:t>
                  </w:r>
                </w:p>
              </w:tc>
            </w:tr>
          </w:tbl>
          <w:p w:rsidR="00974C23" w:rsidRPr="00974C23" w:rsidRDefault="00974C23" w:rsidP="00974C2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</w:tr>
      <w:tr w:rsidR="00974C23" w:rsidRPr="00974C23" w:rsidTr="00974C23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974C23" w:rsidRPr="00974C23" w:rsidRDefault="00974C23" w:rsidP="00974C23">
            <w:pPr>
              <w:widowControl/>
              <w:jc w:val="center"/>
              <w:rPr>
                <w:rFonts w:ascii="宋体" w:eastAsia="宋体" w:hAnsi="宋体" w:cs="宋体"/>
                <w:color w:val="323E32"/>
                <w:kern w:val="0"/>
                <w:sz w:val="16"/>
                <w:szCs w:val="24"/>
              </w:rPr>
            </w:pPr>
          </w:p>
        </w:tc>
      </w:tr>
      <w:tr w:rsidR="00974C23" w:rsidRPr="00974C23" w:rsidTr="00974C2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4C23" w:rsidRPr="00974C23" w:rsidRDefault="00974C23" w:rsidP="00974C2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</w:tr>
      <w:tr w:rsidR="00974C23" w:rsidRPr="00974C23" w:rsidTr="00974C2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5"/>
            </w:tblGrid>
            <w:tr w:rsidR="00974C23" w:rsidRPr="00974C2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4C23" w:rsidRPr="00974C23" w:rsidRDefault="00974C23" w:rsidP="00974C23">
                  <w:pPr>
                    <w:widowControl/>
                    <w:jc w:val="right"/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74C23" w:rsidRPr="00974C23" w:rsidRDefault="00974C23" w:rsidP="00974C2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</w:tr>
      <w:tr w:rsidR="00974C23" w:rsidRPr="00974C23" w:rsidTr="00974C23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5"/>
            </w:tblGrid>
            <w:tr w:rsidR="00974C23" w:rsidRPr="00974C2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974C23" w:rsidRPr="00974C23" w:rsidRDefault="00974C23" w:rsidP="00974C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</w:pP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>吉林、福建、山东、湖北、广西、重庆、四川、甘肃省（自治区、直辖市）财政厅（局）、地方税务局：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为推进中国农业银行“三农金融事业部”管理体制改革，支持县域经济发展，经国务院批准，现就中国农业银行“三农金融事业部”改革试点有关营业税政策通知如下：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一、自2010年10月1日至2011年9月30日，对中国农业银行纳入“三农金融事业部”改革试点的吉林、福建、山东、湖北、广西、重庆、四川、甘肃8个省（自治区、直辖市）分行下辖的县域支行（也称</w:t>
                  </w:r>
                  <w:proofErr w:type="gramStart"/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>县事业</w:t>
                  </w:r>
                  <w:proofErr w:type="gramEnd"/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>部），提供农户贷款、农村企业和农村各类组织贷款（具体贷款业务清单见附件）取得的利息收入减按3%的税率征收营业税。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二、本通知所称农户贷款，是指金融机构发放给农户的贷款，但不包括按照《财政部国家税务总局关于农村金融有关税收政策的通知》（财税[2010]4号）规定免征营业税的农户小额贷款。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本通知所称农户，是指长期（指一年及一年以上，下同）居住在乡镇（不包括城关镇）范围内或者城关镇所辖行政村范围内（以下统称农村）的住户，包括户口不在农村而长期在农村居住住户、国有农场的职工和农村个体工商户。农户以户为单位，既可以从事农业生产经营，也可以从事非农业生产经营。但位于农村的国家机关、社会团体、学校、国有企业和事业单位的集体户，或者有农村户口但举家长期外出谋生的住户，无论是否保留承包耕地，均不属于农户。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本通知所称农村企业和农村各类组织贷款，是指金融机构发放给农村注册的企业及各类组织的贷款。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三、中国农业银行纳入“三农金融事业部”改革试点的县域支行，应当按照《中华人民共和国营业税暂行条例》（国务院令第540号）第九条及其他相关规定，单独核算享受营业税减税政策的贷款利息收入；未单独核算的，不得享受本通知第一条规定的营业税政策。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附件：享受营业税优惠政策的涉农贷款业务清单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</w:t>
                  </w:r>
                </w:p>
                <w:p w:rsidR="00974C23" w:rsidRPr="00974C23" w:rsidRDefault="00974C23" w:rsidP="00974C23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</w:pP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>财政部 国家税务总局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>二○一○年十二月三十一日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</w:r>
                  <w:proofErr w:type="gramStart"/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 xml:space="preserve">　　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</w:t>
                  </w:r>
                  <w:proofErr w:type="gramEnd"/>
                </w:p>
                <w:p w:rsidR="00974C23" w:rsidRPr="00974C23" w:rsidRDefault="00974C23" w:rsidP="00974C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</w:pP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 xml:space="preserve">　　附件：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lastRenderedPageBreak/>
                    <w:t xml:space="preserve">　　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</w:t>
                  </w:r>
                  <w:r w:rsidRPr="00974C23">
                    <w:rPr>
                      <w:rFonts w:ascii="宋体" w:eastAsia="宋体" w:hAnsi="宋体" w:cs="宋体"/>
                      <w:b/>
                      <w:bCs/>
                      <w:color w:val="323E32"/>
                      <w:kern w:val="0"/>
                      <w:sz w:val="24"/>
                      <w:szCs w:val="24"/>
                    </w:rPr>
                    <w:t>享受营业税优惠政策的涉农贷款业务清单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1、农业贷款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2、林业贷款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3、畜牧业贷款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4、渔业贷款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5、农林牧渔服务业贷款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6、小型农田水利设施建设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7、大型灌区改造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8、中低产田改造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9、防涝抗旱减灾体系建设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10、农产品加工贷款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11、农业生产资料制造贷款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12、农业物资流通贷款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13、农副产品流通贷款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14、农产品出口贷款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15、农业科技贷款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16、农业综合生产能力建设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17、农田水利设施建设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18、农产品流通设施建设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19、其他农业生产性基础设施建设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20、农村饮水安全工程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21、农村公路建设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22、农村能源建设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23、农村沼气建设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24、其他农村生活基础设施建设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25、农村教育设施建设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26、农村卫生设施建设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27、农村文化体育设施建设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28、林业和生态环境建设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29、法人其他涉农贷款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30、农户农林牧渔业生产贷款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31、农户其他生产经营贷款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32、农户助学贷款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33、农户</w:t>
                  </w:r>
                  <w:proofErr w:type="gramStart"/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t>医疗贷款</w:t>
                  </w:r>
                  <w:proofErr w:type="gramEnd"/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34、农户住房贷款</w:t>
                  </w:r>
                  <w:r w:rsidRPr="00974C23">
                    <w:rPr>
                      <w:rFonts w:ascii="宋体" w:eastAsia="宋体" w:hAnsi="宋体" w:cs="宋体"/>
                      <w:color w:val="323E32"/>
                      <w:kern w:val="0"/>
                      <w:sz w:val="24"/>
                      <w:szCs w:val="24"/>
                    </w:rPr>
                    <w:br/>
                    <w:t xml:space="preserve">　　35、农户其他消费贷款</w:t>
                  </w:r>
                </w:p>
              </w:tc>
            </w:tr>
          </w:tbl>
          <w:p w:rsidR="00974C23" w:rsidRPr="00974C23" w:rsidRDefault="00974C23" w:rsidP="00974C2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</w:tr>
    </w:tbl>
    <w:p w:rsidR="00673A9B" w:rsidRPr="00974C23" w:rsidRDefault="00673A9B">
      <w:pPr>
        <w:rPr>
          <w:rFonts w:hint="eastAsia"/>
        </w:rPr>
      </w:pPr>
    </w:p>
    <w:sectPr w:rsidR="00673A9B" w:rsidRPr="0097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E"/>
    <w:rsid w:val="0007144E"/>
    <w:rsid w:val="00673A9B"/>
    <w:rsid w:val="009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C23"/>
    <w:rPr>
      <w:b/>
      <w:bCs/>
    </w:rPr>
  </w:style>
  <w:style w:type="paragraph" w:styleId="a4">
    <w:name w:val="Normal (Web)"/>
    <w:basedOn w:val="a"/>
    <w:uiPriority w:val="99"/>
    <w:unhideWhenUsed/>
    <w:rsid w:val="00974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C23"/>
    <w:rPr>
      <w:b/>
      <w:bCs/>
    </w:rPr>
  </w:style>
  <w:style w:type="paragraph" w:styleId="a4">
    <w:name w:val="Normal (Web)"/>
    <w:basedOn w:val="a"/>
    <w:uiPriority w:val="99"/>
    <w:unhideWhenUsed/>
    <w:rsid w:val="00974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7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4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2013-07-18T03:13:00Z</dcterms:created>
  <dcterms:modified xsi:type="dcterms:W3CDTF">2013-07-18T03:14:00Z</dcterms:modified>
</cp:coreProperties>
</file>