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D9F" w:rsidRPr="00667D9F" w:rsidRDefault="00667D9F" w:rsidP="00667D9F">
      <w:pPr>
        <w:widowControl/>
        <w:shd w:val="clear" w:color="auto" w:fill="FFFFFF"/>
        <w:spacing w:before="390" w:after="390" w:line="360" w:lineRule="atLeast"/>
        <w:ind w:firstLine="480"/>
        <w:jc w:val="center"/>
        <w:rPr>
          <w:rFonts w:ascii="宋体" w:eastAsia="宋体" w:hAnsi="宋体" w:cs="宋体"/>
          <w:color w:val="252525"/>
          <w:kern w:val="0"/>
          <w:szCs w:val="21"/>
        </w:rPr>
      </w:pPr>
      <w:r w:rsidRPr="00667D9F">
        <w:rPr>
          <w:rFonts w:ascii="宋体" w:eastAsia="宋体" w:hAnsi="宋体" w:cs="宋体" w:hint="eastAsia"/>
          <w:b/>
          <w:bCs/>
          <w:color w:val="252525"/>
          <w:kern w:val="0"/>
          <w:sz w:val="36"/>
          <w:szCs w:val="36"/>
        </w:rPr>
        <w:t>关于职业教育等营业税若干政策问题的通知</w:t>
      </w:r>
      <w:r w:rsidRPr="00667D9F">
        <w:rPr>
          <w:rFonts w:ascii="宋体" w:eastAsia="宋体" w:hAnsi="宋体" w:cs="宋体" w:hint="eastAsia"/>
          <w:color w:val="252525"/>
          <w:kern w:val="0"/>
          <w:szCs w:val="21"/>
        </w:rPr>
        <w:br/>
      </w:r>
      <w:r w:rsidRPr="00667D9F">
        <w:rPr>
          <w:rFonts w:ascii="楷体_GB2312" w:eastAsia="楷体_GB2312" w:hAnsi="宋体" w:cs="宋体" w:hint="eastAsia"/>
          <w:color w:val="252525"/>
          <w:kern w:val="0"/>
          <w:szCs w:val="21"/>
        </w:rPr>
        <w:t>财税〔2013〕62号</w:t>
      </w:r>
    </w:p>
    <w:p w:rsidR="00667D9F" w:rsidRDefault="00667D9F" w:rsidP="00667D9F">
      <w:pPr>
        <w:widowControl/>
        <w:shd w:val="clear" w:color="auto" w:fill="FFFFFF"/>
        <w:spacing w:before="390" w:after="390" w:line="360" w:lineRule="atLeast"/>
        <w:ind w:firstLine="480"/>
        <w:rPr>
          <w:rFonts w:ascii="宋体" w:eastAsia="宋体" w:hAnsi="宋体" w:cs="宋体" w:hint="eastAsia"/>
          <w:color w:val="252525"/>
          <w:kern w:val="0"/>
          <w:szCs w:val="21"/>
        </w:rPr>
      </w:pPr>
      <w:r w:rsidRPr="00667D9F">
        <w:rPr>
          <w:rFonts w:ascii="宋体" w:eastAsia="宋体" w:hAnsi="宋体" w:cs="宋体" w:hint="eastAsia"/>
          <w:color w:val="252525"/>
          <w:kern w:val="0"/>
          <w:szCs w:val="21"/>
        </w:rPr>
        <w:t>各省、自治区、直辖市、计划单列市财政厅（局）、地方税务局，北京、西藏、宁夏、青海省（自治区、直辖市）国家税务局，新疆生产建设兵团财务</w:t>
      </w:r>
      <w:bookmarkStart w:id="0" w:name="_GoBack"/>
      <w:bookmarkEnd w:id="0"/>
      <w:r w:rsidRPr="00667D9F">
        <w:rPr>
          <w:rFonts w:ascii="宋体" w:eastAsia="宋体" w:hAnsi="宋体" w:cs="宋体" w:hint="eastAsia"/>
          <w:color w:val="252525"/>
          <w:kern w:val="0"/>
          <w:szCs w:val="21"/>
        </w:rPr>
        <w:t>局：</w:t>
      </w:r>
      <w:r w:rsidRPr="00667D9F">
        <w:rPr>
          <w:rFonts w:ascii="宋体" w:eastAsia="宋体" w:hAnsi="宋体" w:cs="宋体" w:hint="eastAsia"/>
          <w:color w:val="252525"/>
          <w:kern w:val="0"/>
          <w:szCs w:val="21"/>
        </w:rPr>
        <w:br/>
        <w:t xml:space="preserve">　　经研究，现将有关营业税政策问题明确如下：</w:t>
      </w:r>
      <w:r w:rsidRPr="00667D9F">
        <w:rPr>
          <w:rFonts w:ascii="宋体" w:eastAsia="宋体" w:hAnsi="宋体" w:cs="宋体" w:hint="eastAsia"/>
          <w:color w:val="252525"/>
          <w:kern w:val="0"/>
          <w:szCs w:val="21"/>
        </w:rPr>
        <w:br/>
        <w:t xml:space="preserve">　　一、将《财政部 国家税务总局关于加强教育劳务营业税征收管理有关问题的通知》（财税〔2006〕3号）第一条（二）项“从事学历教育的学校是指：普通学校以及经地、市级以上人民政府或者同级政府的教育行政部门批准成立、国家承认其学员学历的各类学校”修改为“从事学历教育的学校是指：（1）普通学校，及经地（市）级以上人民政府或者同级政府的教育行政部门批准成立、国家承认其学员学历的各类学校；（2）经省级及以上人力资源社会保障行政部门批准成立的技工学校、高级技工学校，以及经省级人民政府批准成立的技师学院。”</w:t>
      </w:r>
      <w:r w:rsidRPr="00667D9F">
        <w:rPr>
          <w:rFonts w:ascii="宋体" w:eastAsia="宋体" w:hAnsi="宋体" w:cs="宋体" w:hint="eastAsia"/>
          <w:color w:val="252525"/>
          <w:kern w:val="0"/>
          <w:szCs w:val="21"/>
        </w:rPr>
        <w:br/>
        <w:t xml:space="preserve">　　二、对个人销售自建自用住房，免征营业税。对企业、行政事业单位按房改成本价、标准价出售住房的收入，免征营业税。</w:t>
      </w:r>
      <w:r w:rsidRPr="00667D9F">
        <w:rPr>
          <w:rFonts w:ascii="宋体" w:eastAsia="宋体" w:hAnsi="宋体" w:cs="宋体" w:hint="eastAsia"/>
          <w:color w:val="252525"/>
          <w:kern w:val="0"/>
          <w:szCs w:val="21"/>
        </w:rPr>
        <w:br/>
        <w:t xml:space="preserve">　　三、对国家商品储备管理单位及其直属企业承担商品储备任务，从中央或地方财政取得的利息补贴收入以及价差补贴收入，不征收营业税。</w:t>
      </w:r>
      <w:r w:rsidRPr="00667D9F">
        <w:rPr>
          <w:rFonts w:ascii="宋体" w:eastAsia="宋体" w:hAnsi="宋体" w:cs="宋体" w:hint="eastAsia"/>
          <w:color w:val="252525"/>
          <w:kern w:val="0"/>
          <w:szCs w:val="21"/>
        </w:rPr>
        <w:br/>
        <w:t xml:space="preserve">　　国家商品储备管理单位及其直属企业，是指接受中央、省、市、县四级政府有关部门（或政府指定管理单位）委托，承担粮（含大豆）、食用油、棉、糖、肉、盐（限于中央储备）等6种商品储备任务，并按有关政策收储、销售上述6种储备商品，取得财政储备经费或补贴的商品储备企业。</w:t>
      </w:r>
      <w:r w:rsidRPr="00667D9F">
        <w:rPr>
          <w:rFonts w:ascii="宋体" w:eastAsia="宋体" w:hAnsi="宋体" w:cs="宋体" w:hint="eastAsia"/>
          <w:color w:val="252525"/>
          <w:kern w:val="0"/>
          <w:szCs w:val="21"/>
        </w:rPr>
        <w:br/>
        <w:t xml:space="preserve">　　利息补贴收入是指，国家商品储备管理单位及其直属企业因承担上述商品储备任务从金融机构贷款，并从中央或地方财政取得的用于偿还贷款利息的贴息收入。价差补贴收入包括销售价差补贴收入和轮换价差补贴收入。销售价差补贴收入是指按照中央或地方政府指令销售上述储备商品时，由于销售收入小于库存成本而从中央或地方财政获得的全额价差补贴收入。轮换价差补贴收入是指根据要求定期组织政策性储备商品轮换而从中央或地方财政取得的商品新陈品质价差补贴收入。</w:t>
      </w:r>
      <w:r w:rsidRPr="00667D9F">
        <w:rPr>
          <w:rFonts w:ascii="宋体" w:eastAsia="宋体" w:hAnsi="宋体" w:cs="宋体" w:hint="eastAsia"/>
          <w:color w:val="252525"/>
          <w:kern w:val="0"/>
          <w:szCs w:val="21"/>
        </w:rPr>
        <w:br/>
        <w:t xml:space="preserve">　　四、本通知第一条自2013年1月1日起执行，第二、三条自2011年1月1日起执行。</w:t>
      </w:r>
    </w:p>
    <w:p w:rsidR="00667D9F" w:rsidRPr="00667D9F" w:rsidRDefault="00667D9F" w:rsidP="00667D9F">
      <w:pPr>
        <w:widowControl/>
        <w:shd w:val="clear" w:color="auto" w:fill="FFFFFF"/>
        <w:spacing w:before="390" w:after="390" w:line="360" w:lineRule="atLeast"/>
        <w:ind w:firstLine="480"/>
        <w:rPr>
          <w:rFonts w:ascii="宋体" w:eastAsia="宋体" w:hAnsi="宋体" w:cs="宋体" w:hint="eastAsia"/>
          <w:color w:val="252525"/>
          <w:kern w:val="0"/>
          <w:szCs w:val="21"/>
        </w:rPr>
      </w:pPr>
      <w:r w:rsidRPr="00667D9F">
        <w:rPr>
          <w:rFonts w:ascii="宋体" w:eastAsia="宋体" w:hAnsi="宋体" w:cs="宋体" w:hint="eastAsia"/>
          <w:color w:val="252525"/>
          <w:kern w:val="0"/>
          <w:szCs w:val="21"/>
        </w:rPr>
        <w:br/>
        <w:t xml:space="preserve">　　　　　　　　　　　　　　　　　　　　　　　　财政部　国家税务总局</w:t>
      </w:r>
      <w:r w:rsidRPr="00667D9F">
        <w:rPr>
          <w:rFonts w:ascii="宋体" w:eastAsia="宋体" w:hAnsi="宋体" w:cs="宋体" w:hint="eastAsia"/>
          <w:color w:val="252525"/>
          <w:kern w:val="0"/>
          <w:szCs w:val="21"/>
        </w:rPr>
        <w:br/>
      </w:r>
      <w:proofErr w:type="gramStart"/>
      <w:r w:rsidRPr="00667D9F">
        <w:rPr>
          <w:rFonts w:ascii="宋体" w:eastAsia="宋体" w:hAnsi="宋体" w:cs="宋体" w:hint="eastAsia"/>
          <w:color w:val="252525"/>
          <w:kern w:val="0"/>
          <w:szCs w:val="21"/>
        </w:rPr>
        <w:t xml:space="preserve">　　　　　　　　　　　　　　　　　　　　　　　　　　</w:t>
      </w:r>
      <w:proofErr w:type="gramEnd"/>
      <w:r w:rsidRPr="00667D9F">
        <w:rPr>
          <w:rFonts w:ascii="宋体" w:eastAsia="宋体" w:hAnsi="宋体" w:cs="宋体" w:hint="eastAsia"/>
          <w:color w:val="252525"/>
          <w:kern w:val="0"/>
          <w:szCs w:val="21"/>
        </w:rPr>
        <w:t>2013年9月25日</w:t>
      </w:r>
    </w:p>
    <w:p w:rsidR="00D95955" w:rsidRPr="00667D9F" w:rsidRDefault="00D95955"/>
    <w:sectPr w:rsidR="00D95955" w:rsidRPr="00667D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EAB" w:rsidRDefault="00226EAB" w:rsidP="00667D9F">
      <w:r>
        <w:separator/>
      </w:r>
    </w:p>
  </w:endnote>
  <w:endnote w:type="continuationSeparator" w:id="0">
    <w:p w:rsidR="00226EAB" w:rsidRDefault="00226EAB" w:rsidP="00667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EAB" w:rsidRDefault="00226EAB" w:rsidP="00667D9F">
      <w:r>
        <w:separator/>
      </w:r>
    </w:p>
  </w:footnote>
  <w:footnote w:type="continuationSeparator" w:id="0">
    <w:p w:rsidR="00226EAB" w:rsidRDefault="00226EAB" w:rsidP="00667D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13A"/>
    <w:rsid w:val="00226EAB"/>
    <w:rsid w:val="00667D9F"/>
    <w:rsid w:val="0072413A"/>
    <w:rsid w:val="00D95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7D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67D9F"/>
    <w:rPr>
      <w:sz w:val="18"/>
      <w:szCs w:val="18"/>
    </w:rPr>
  </w:style>
  <w:style w:type="paragraph" w:styleId="a4">
    <w:name w:val="footer"/>
    <w:basedOn w:val="a"/>
    <w:link w:val="Char0"/>
    <w:uiPriority w:val="99"/>
    <w:unhideWhenUsed/>
    <w:rsid w:val="00667D9F"/>
    <w:pPr>
      <w:tabs>
        <w:tab w:val="center" w:pos="4153"/>
        <w:tab w:val="right" w:pos="8306"/>
      </w:tabs>
      <w:snapToGrid w:val="0"/>
      <w:jc w:val="left"/>
    </w:pPr>
    <w:rPr>
      <w:sz w:val="18"/>
      <w:szCs w:val="18"/>
    </w:rPr>
  </w:style>
  <w:style w:type="character" w:customStyle="1" w:styleId="Char0">
    <w:name w:val="页脚 Char"/>
    <w:basedOn w:val="a0"/>
    <w:link w:val="a4"/>
    <w:uiPriority w:val="99"/>
    <w:rsid w:val="00667D9F"/>
    <w:rPr>
      <w:sz w:val="18"/>
      <w:szCs w:val="18"/>
    </w:rPr>
  </w:style>
  <w:style w:type="character" w:styleId="a5">
    <w:name w:val="Strong"/>
    <w:basedOn w:val="a0"/>
    <w:uiPriority w:val="22"/>
    <w:qFormat/>
    <w:rsid w:val="00667D9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7D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67D9F"/>
    <w:rPr>
      <w:sz w:val="18"/>
      <w:szCs w:val="18"/>
    </w:rPr>
  </w:style>
  <w:style w:type="paragraph" w:styleId="a4">
    <w:name w:val="footer"/>
    <w:basedOn w:val="a"/>
    <w:link w:val="Char0"/>
    <w:uiPriority w:val="99"/>
    <w:unhideWhenUsed/>
    <w:rsid w:val="00667D9F"/>
    <w:pPr>
      <w:tabs>
        <w:tab w:val="center" w:pos="4153"/>
        <w:tab w:val="right" w:pos="8306"/>
      </w:tabs>
      <w:snapToGrid w:val="0"/>
      <w:jc w:val="left"/>
    </w:pPr>
    <w:rPr>
      <w:sz w:val="18"/>
      <w:szCs w:val="18"/>
    </w:rPr>
  </w:style>
  <w:style w:type="character" w:customStyle="1" w:styleId="Char0">
    <w:name w:val="页脚 Char"/>
    <w:basedOn w:val="a0"/>
    <w:link w:val="a4"/>
    <w:uiPriority w:val="99"/>
    <w:rsid w:val="00667D9F"/>
    <w:rPr>
      <w:sz w:val="18"/>
      <w:szCs w:val="18"/>
    </w:rPr>
  </w:style>
  <w:style w:type="character" w:styleId="a5">
    <w:name w:val="Strong"/>
    <w:basedOn w:val="a0"/>
    <w:uiPriority w:val="22"/>
    <w:qFormat/>
    <w:rsid w:val="00667D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91447">
      <w:bodyDiv w:val="1"/>
      <w:marLeft w:val="0"/>
      <w:marRight w:val="0"/>
      <w:marTop w:val="0"/>
      <w:marBottom w:val="0"/>
      <w:divBdr>
        <w:top w:val="none" w:sz="0" w:space="0" w:color="auto"/>
        <w:left w:val="none" w:sz="0" w:space="0" w:color="auto"/>
        <w:bottom w:val="none" w:sz="0" w:space="0" w:color="auto"/>
        <w:right w:val="none" w:sz="0" w:space="0" w:color="auto"/>
      </w:divBdr>
      <w:divsChild>
        <w:div w:id="1249387899">
          <w:marLeft w:val="0"/>
          <w:marRight w:val="0"/>
          <w:marTop w:val="0"/>
          <w:marBottom w:val="0"/>
          <w:divBdr>
            <w:top w:val="none" w:sz="0" w:space="0" w:color="auto"/>
            <w:left w:val="none" w:sz="0" w:space="0" w:color="auto"/>
            <w:bottom w:val="none" w:sz="0" w:space="0" w:color="auto"/>
            <w:right w:val="none" w:sz="0" w:space="0" w:color="auto"/>
          </w:divBdr>
          <w:divsChild>
            <w:div w:id="761729000">
              <w:marLeft w:val="0"/>
              <w:marRight w:val="0"/>
              <w:marTop w:val="0"/>
              <w:marBottom w:val="0"/>
              <w:divBdr>
                <w:top w:val="none" w:sz="0" w:space="0" w:color="auto"/>
                <w:left w:val="none" w:sz="0" w:space="0" w:color="auto"/>
                <w:bottom w:val="none" w:sz="0" w:space="0" w:color="auto"/>
                <w:right w:val="none" w:sz="0" w:space="0" w:color="auto"/>
              </w:divBdr>
              <w:divsChild>
                <w:div w:id="918825197">
                  <w:marLeft w:val="0"/>
                  <w:marRight w:val="0"/>
                  <w:marTop w:val="0"/>
                  <w:marBottom w:val="0"/>
                  <w:divBdr>
                    <w:top w:val="none" w:sz="0" w:space="0" w:color="auto"/>
                    <w:left w:val="none" w:sz="0" w:space="0" w:color="auto"/>
                    <w:bottom w:val="none" w:sz="0" w:space="0" w:color="auto"/>
                    <w:right w:val="none" w:sz="0" w:space="0" w:color="auto"/>
                  </w:divBdr>
                  <w:divsChild>
                    <w:div w:id="209107280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143</Words>
  <Characters>816</Characters>
  <Application>Microsoft Office Word</Application>
  <DocSecurity>0</DocSecurity>
  <Lines>6</Lines>
  <Paragraphs>1</Paragraphs>
  <ScaleCrop>false</ScaleCrop>
  <Company>微软中国</Company>
  <LinksUpToDate>false</LinksUpToDate>
  <CharactersWithSpaces>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2013-11-12T09:21:00Z</dcterms:created>
  <dcterms:modified xsi:type="dcterms:W3CDTF">2013-11-12T09:22:00Z</dcterms:modified>
</cp:coreProperties>
</file>