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500" w:type="pct"/>
        <w:jc w:val="center"/>
        <w:tblCellSpacing w:w="0" w:type="dxa"/>
        <w:tblCellMar>
          <w:left w:w="0" w:type="dxa"/>
          <w:right w:w="0" w:type="dxa"/>
        </w:tblCellMar>
        <w:tblLook w:val="04A0" w:firstRow="1" w:lastRow="0" w:firstColumn="1" w:lastColumn="0" w:noHBand="0" w:noVBand="1"/>
      </w:tblPr>
      <w:tblGrid>
        <w:gridCol w:w="7475"/>
      </w:tblGrid>
      <w:tr w:rsidR="00E0508A">
        <w:trPr>
          <w:trHeight w:val="450"/>
          <w:tblCellSpacing w:w="0" w:type="dxa"/>
          <w:jc w:val="center"/>
        </w:trPr>
        <w:tc>
          <w:tcPr>
            <w:tcW w:w="0" w:type="auto"/>
            <w:vAlign w:val="center"/>
            <w:hideMark/>
          </w:tcPr>
          <w:p w:rsidR="00E0508A" w:rsidRDefault="00E0508A">
            <w:pPr>
              <w:jc w:val="center"/>
              <w:rPr>
                <w:rFonts w:ascii="宋体" w:eastAsia="宋体" w:hAnsi="宋体" w:cs="宋体"/>
                <w:color w:val="000000"/>
                <w:sz w:val="18"/>
                <w:szCs w:val="18"/>
              </w:rPr>
            </w:pPr>
            <w:r>
              <w:rPr>
                <w:rFonts w:hint="eastAsia"/>
                <w:b/>
                <w:bCs/>
                <w:color w:val="FF0000"/>
              </w:rPr>
              <w:t>国家税务总局</w:t>
            </w:r>
            <w:r>
              <w:rPr>
                <w:rFonts w:hint="eastAsia"/>
                <w:color w:val="000000"/>
                <w:sz w:val="18"/>
                <w:szCs w:val="18"/>
              </w:rPr>
              <w:t xml:space="preserve"> </w:t>
            </w:r>
            <w:r>
              <w:rPr>
                <w:rStyle w:val="style31"/>
                <w:rFonts w:hint="eastAsia"/>
                <w:sz w:val="18"/>
                <w:szCs w:val="18"/>
              </w:rPr>
              <w:t xml:space="preserve">   </w:t>
            </w:r>
          </w:p>
        </w:tc>
      </w:tr>
      <w:tr w:rsidR="00E0508A">
        <w:trPr>
          <w:trHeight w:val="450"/>
          <w:tblCellSpacing w:w="0" w:type="dxa"/>
          <w:jc w:val="center"/>
        </w:trPr>
        <w:tc>
          <w:tcPr>
            <w:tcW w:w="0" w:type="auto"/>
            <w:vAlign w:val="center"/>
            <w:hideMark/>
          </w:tcPr>
          <w:p w:rsidR="00E0508A" w:rsidRDefault="00E0508A">
            <w:pPr>
              <w:spacing w:line="330" w:lineRule="atLeast"/>
              <w:jc w:val="center"/>
              <w:rPr>
                <w:rFonts w:ascii="Arial" w:eastAsia="宋体" w:hAnsi="Arial" w:cs="Arial"/>
                <w:b/>
                <w:bCs/>
                <w:color w:val="0053B1"/>
                <w:sz w:val="27"/>
                <w:szCs w:val="27"/>
              </w:rPr>
            </w:pPr>
            <w:r>
              <w:rPr>
                <w:rFonts w:ascii="Arial" w:hAnsi="Arial" w:cs="Arial"/>
                <w:b/>
                <w:bCs/>
                <w:color w:val="0053B1"/>
                <w:sz w:val="27"/>
                <w:szCs w:val="27"/>
              </w:rPr>
              <w:t>关于铁路运输企业之间合作完成运输业务有关营业税问题的公告</w:t>
            </w:r>
          </w:p>
        </w:tc>
      </w:tr>
      <w:tr w:rsidR="00E0508A">
        <w:trPr>
          <w:trHeight w:val="375"/>
          <w:tblCellSpacing w:w="0" w:type="dxa"/>
          <w:jc w:val="center"/>
        </w:trPr>
        <w:tc>
          <w:tcPr>
            <w:tcW w:w="0" w:type="auto"/>
            <w:vAlign w:val="center"/>
            <w:hideMark/>
          </w:tcPr>
          <w:p w:rsidR="00E0508A" w:rsidRDefault="00E0508A">
            <w:pPr>
              <w:jc w:val="center"/>
              <w:rPr>
                <w:rFonts w:ascii="宋体" w:eastAsia="宋体" w:hAnsi="宋体" w:cs="宋体"/>
                <w:color w:val="000000"/>
                <w:sz w:val="18"/>
                <w:szCs w:val="18"/>
              </w:rPr>
            </w:pPr>
            <w:r>
              <w:rPr>
                <w:rFonts w:hint="eastAsia"/>
                <w:color w:val="000000"/>
                <w:sz w:val="18"/>
                <w:szCs w:val="18"/>
              </w:rPr>
              <w:t>国家税务总局公告</w:t>
            </w:r>
            <w:r>
              <w:rPr>
                <w:rFonts w:hint="eastAsia"/>
                <w:color w:val="000000"/>
                <w:sz w:val="18"/>
                <w:szCs w:val="18"/>
              </w:rPr>
              <w:t>2011</w:t>
            </w:r>
            <w:r>
              <w:rPr>
                <w:rFonts w:hint="eastAsia"/>
                <w:color w:val="000000"/>
                <w:sz w:val="18"/>
                <w:szCs w:val="18"/>
              </w:rPr>
              <w:t>年第</w:t>
            </w:r>
            <w:r>
              <w:rPr>
                <w:rFonts w:hint="eastAsia"/>
                <w:color w:val="000000"/>
                <w:sz w:val="18"/>
                <w:szCs w:val="18"/>
              </w:rPr>
              <w:t>52</w:t>
            </w:r>
            <w:r>
              <w:rPr>
                <w:rFonts w:hint="eastAsia"/>
                <w:color w:val="000000"/>
                <w:sz w:val="18"/>
                <w:szCs w:val="18"/>
              </w:rPr>
              <w:t>号</w:t>
            </w:r>
          </w:p>
        </w:tc>
      </w:tr>
      <w:tr w:rsidR="00E0508A">
        <w:trPr>
          <w:trHeight w:val="150"/>
          <w:tblCellSpacing w:w="0" w:type="dxa"/>
          <w:jc w:val="center"/>
        </w:trPr>
        <w:tc>
          <w:tcPr>
            <w:tcW w:w="0" w:type="auto"/>
            <w:vAlign w:val="center"/>
            <w:hideMark/>
          </w:tcPr>
          <w:p w:rsidR="00E0508A" w:rsidRDefault="00E0508A">
            <w:pPr>
              <w:jc w:val="center"/>
              <w:rPr>
                <w:rFonts w:ascii="宋体" w:eastAsia="宋体" w:hAnsi="宋体" w:cs="宋体"/>
                <w:color w:val="000000"/>
                <w:sz w:val="16"/>
                <w:szCs w:val="18"/>
              </w:rPr>
            </w:pPr>
          </w:p>
        </w:tc>
      </w:tr>
      <w:tr w:rsidR="00E0508A">
        <w:trPr>
          <w:tblCellSpacing w:w="0" w:type="dxa"/>
          <w:jc w:val="center"/>
        </w:trPr>
        <w:tc>
          <w:tcPr>
            <w:tcW w:w="0" w:type="auto"/>
            <w:vAlign w:val="center"/>
            <w:hideMark/>
          </w:tcPr>
          <w:p w:rsidR="00E0508A" w:rsidRDefault="00E0508A">
            <w:pPr>
              <w:rPr>
                <w:rFonts w:ascii="宋体" w:eastAsia="宋体" w:hAnsi="宋体" w:cs="宋体"/>
                <w:color w:val="000000"/>
                <w:sz w:val="18"/>
                <w:szCs w:val="18"/>
              </w:rPr>
            </w:pPr>
          </w:p>
        </w:tc>
      </w:tr>
      <w:tr w:rsidR="00E0508A">
        <w:trPr>
          <w:tblCellSpacing w:w="0" w:type="dxa"/>
          <w:jc w:val="center"/>
        </w:trPr>
        <w:tc>
          <w:tcPr>
            <w:tcW w:w="0" w:type="auto"/>
            <w:vAlign w:val="center"/>
            <w:hideMark/>
          </w:tcPr>
          <w:p w:rsidR="00E0508A" w:rsidRDefault="00E0508A">
            <w:pPr>
              <w:rPr>
                <w:rFonts w:ascii="宋体" w:eastAsia="宋体" w:hAnsi="宋体" w:cs="宋体"/>
                <w:color w:val="000000"/>
                <w:sz w:val="18"/>
                <w:szCs w:val="18"/>
              </w:rPr>
            </w:pPr>
            <w:bookmarkStart w:id="0" w:name="_GoBack"/>
            <w:bookmarkEnd w:id="0"/>
          </w:p>
        </w:tc>
      </w:tr>
      <w:tr w:rsidR="00E0508A">
        <w:trPr>
          <w:tblCellSpacing w:w="0" w:type="dxa"/>
          <w:jc w:val="center"/>
        </w:trPr>
        <w:tc>
          <w:tcPr>
            <w:tcW w:w="0" w:type="auto"/>
            <w:tcMar>
              <w:top w:w="300" w:type="dxa"/>
              <w:left w:w="0" w:type="dxa"/>
              <w:bottom w:w="0" w:type="dxa"/>
              <w:right w:w="0" w:type="dxa"/>
            </w:tcMar>
            <w:vAlign w:val="center"/>
            <w:hideMark/>
          </w:tcPr>
          <w:tbl>
            <w:tblPr>
              <w:tblW w:w="4650" w:type="pct"/>
              <w:jc w:val="center"/>
              <w:tblCellSpacing w:w="0" w:type="dxa"/>
              <w:tblCellMar>
                <w:left w:w="0" w:type="dxa"/>
                <w:right w:w="0" w:type="dxa"/>
              </w:tblCellMar>
              <w:tblLook w:val="04A0" w:firstRow="1" w:lastRow="0" w:firstColumn="1" w:lastColumn="0" w:noHBand="0" w:noVBand="1"/>
            </w:tblPr>
            <w:tblGrid>
              <w:gridCol w:w="6952"/>
            </w:tblGrid>
            <w:tr w:rsidR="00E0508A">
              <w:trPr>
                <w:tblCellSpacing w:w="0" w:type="dxa"/>
                <w:jc w:val="center"/>
              </w:trPr>
              <w:tc>
                <w:tcPr>
                  <w:tcW w:w="0" w:type="auto"/>
                  <w:tcMar>
                    <w:top w:w="0" w:type="dxa"/>
                    <w:left w:w="0" w:type="dxa"/>
                    <w:bottom w:w="300" w:type="dxa"/>
                    <w:right w:w="0" w:type="dxa"/>
                  </w:tcMar>
                  <w:vAlign w:val="center"/>
                  <w:hideMark/>
                </w:tcPr>
                <w:p w:rsidR="00E0508A" w:rsidRDefault="00E0508A">
                  <w:pPr>
                    <w:pStyle w:val="a6"/>
                    <w:spacing w:line="360" w:lineRule="atLeast"/>
                    <w:rPr>
                      <w:color w:val="000000"/>
                      <w:sz w:val="21"/>
                      <w:szCs w:val="21"/>
                    </w:rPr>
                  </w:pPr>
                  <w:r>
                    <w:rPr>
                      <w:rFonts w:hint="eastAsia"/>
                      <w:color w:val="000000"/>
                      <w:sz w:val="21"/>
                      <w:szCs w:val="21"/>
                    </w:rPr>
                    <w:t>    根据《中华人民共和国营业税暂行条例》（中华人民共和国国务院令540号）第五条的有关规定，现将合资铁路运输公司、股改铁路运输企业和其他铁路运输企业相互之间合作完成运输业务有关营业税问题公告如下：</w:t>
                  </w:r>
                  <w:r>
                    <w:rPr>
                      <w:rFonts w:hint="eastAsia"/>
                      <w:color w:val="000000"/>
                      <w:sz w:val="21"/>
                      <w:szCs w:val="21"/>
                    </w:rPr>
                    <w:br/>
                    <w:t>    合资铁路运输公司、股改铁路运输企业和其他铁路运输企业相互之间合作完成运输业务，承运人应以取得的全部价款和价外费用扣除支付给其他合作运输方的运输费用后的余额为营业额，以《铁路运输企业提供服务清算票据》为营业额扣除凭证，计算缴纳营业税。</w:t>
                  </w:r>
                  <w:r>
                    <w:rPr>
                      <w:rFonts w:hint="eastAsia"/>
                      <w:color w:val="000000"/>
                      <w:sz w:val="21"/>
                      <w:szCs w:val="21"/>
                    </w:rPr>
                    <w:br/>
                    <w:t>    上述合资铁路运输公司是指由铁道部及其所属铁路运输企业与地方政府、企业或其他投资者共同出资成立的铁路运输企业；上述股改铁路运输企业是指经国务院批准进行股份制改革成立的铁路运输企业。本公告自公布之日起施行。公告施行前已做税务处理的，不再调整；尚未处理的，依本公告执行。</w:t>
                  </w:r>
                  <w:r>
                    <w:rPr>
                      <w:rFonts w:hint="eastAsia"/>
                      <w:color w:val="000000"/>
                      <w:sz w:val="21"/>
                      <w:szCs w:val="21"/>
                    </w:rPr>
                    <w:br/>
                    <w:t>    特此公告。</w:t>
                  </w:r>
                  <w:r>
                    <w:rPr>
                      <w:rFonts w:hint="eastAsia"/>
                      <w:color w:val="000000"/>
                      <w:sz w:val="21"/>
                      <w:szCs w:val="21"/>
                    </w:rPr>
                    <w:br/>
                    <w:t>    </w:t>
                  </w:r>
                  <w:r>
                    <w:rPr>
                      <w:rFonts w:hint="eastAsia"/>
                      <w:color w:val="000000"/>
                      <w:sz w:val="21"/>
                      <w:szCs w:val="21"/>
                    </w:rPr>
                    <w:br/>
                    <w:t>    附件：</w:t>
                  </w:r>
                  <w:bookmarkStart w:id="1" w:name="attachment"/>
                  <w:r>
                    <w:rPr>
                      <w:color w:val="000000"/>
                      <w:sz w:val="21"/>
                      <w:szCs w:val="21"/>
                    </w:rPr>
                    <w:fldChar w:fldCharType="begin"/>
                  </w:r>
                  <w:r>
                    <w:rPr>
                      <w:color w:val="000000"/>
                      <w:sz w:val="21"/>
                      <w:szCs w:val="21"/>
                    </w:rPr>
                    <w:instrText xml:space="preserve"> HYPERLINK "http://www.chinatax.gov.cn/n8136506/n8136593/n8137537/n8138502/n11703698.files/n11703756.tif" \t "_blank" </w:instrText>
                  </w:r>
                  <w:r>
                    <w:rPr>
                      <w:color w:val="000000"/>
                      <w:sz w:val="21"/>
                      <w:szCs w:val="21"/>
                    </w:rPr>
                    <w:fldChar w:fldCharType="separate"/>
                  </w:r>
                  <w:r>
                    <w:rPr>
                      <w:rFonts w:hint="eastAsia"/>
                      <w:color w:val="00008B"/>
                      <w:sz w:val="21"/>
                      <w:szCs w:val="21"/>
                    </w:rPr>
                    <w:t>铁路运输企业提供服务清算票据（式样）.tif</w:t>
                  </w:r>
                  <w:r>
                    <w:rPr>
                      <w:color w:val="000000"/>
                      <w:sz w:val="21"/>
                      <w:szCs w:val="21"/>
                    </w:rPr>
                    <w:fldChar w:fldCharType="end"/>
                  </w:r>
                  <w:bookmarkEnd w:id="1"/>
                </w:p>
                <w:p w:rsidR="00E0508A" w:rsidRDefault="00E0508A">
                  <w:pPr>
                    <w:pStyle w:val="a6"/>
                    <w:spacing w:line="360" w:lineRule="atLeast"/>
                    <w:jc w:val="right"/>
                    <w:rPr>
                      <w:color w:val="000000"/>
                      <w:sz w:val="21"/>
                      <w:szCs w:val="21"/>
                    </w:rPr>
                  </w:pPr>
                  <w:r>
                    <w:rPr>
                      <w:rFonts w:hint="eastAsia"/>
                      <w:color w:val="000000"/>
                      <w:sz w:val="21"/>
                      <w:szCs w:val="21"/>
                    </w:rPr>
                    <w:t>国家税务总局</w:t>
                  </w:r>
                  <w:r>
                    <w:rPr>
                      <w:rFonts w:hint="eastAsia"/>
                      <w:color w:val="000000"/>
                      <w:sz w:val="21"/>
                      <w:szCs w:val="21"/>
                    </w:rPr>
                    <w:br/>
                    <w:t>    二○一一年九月二十六日</w:t>
                  </w:r>
                </w:p>
              </w:tc>
            </w:tr>
          </w:tbl>
          <w:p w:rsidR="00E0508A" w:rsidRDefault="00E0508A">
            <w:pPr>
              <w:rPr>
                <w:rFonts w:ascii="宋体" w:eastAsia="宋体" w:hAnsi="宋体" w:cs="宋体"/>
                <w:color w:val="000000"/>
                <w:sz w:val="18"/>
                <w:szCs w:val="18"/>
              </w:rPr>
            </w:pPr>
          </w:p>
        </w:tc>
      </w:tr>
    </w:tbl>
    <w:p w:rsidR="008D19F3" w:rsidRPr="00E0508A" w:rsidRDefault="008D19F3" w:rsidP="008D19F3">
      <w:pPr>
        <w:widowControl/>
        <w:spacing w:line="384" w:lineRule="auto"/>
        <w:jc w:val="center"/>
        <w:rPr>
          <w:rFonts w:ascii="Times New Roman" w:eastAsia="宋体" w:hAnsi="Times New Roman" w:cs="Times New Roman"/>
          <w:color w:val="000000"/>
          <w:kern w:val="0"/>
          <w:szCs w:val="21"/>
        </w:rPr>
      </w:pPr>
    </w:p>
    <w:p w:rsidR="0060711B" w:rsidRPr="008D19F3" w:rsidRDefault="0060711B" w:rsidP="00E0508A">
      <w:pPr>
        <w:widowControl/>
        <w:spacing w:line="384" w:lineRule="auto"/>
        <w:jc w:val="center"/>
      </w:pPr>
    </w:p>
    <w:sectPr w:rsidR="0060711B" w:rsidRPr="008D19F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62B1" w:rsidRDefault="002362B1" w:rsidP="00E0508A">
      <w:r>
        <w:separator/>
      </w:r>
    </w:p>
  </w:endnote>
  <w:endnote w:type="continuationSeparator" w:id="0">
    <w:p w:rsidR="002362B1" w:rsidRDefault="002362B1" w:rsidP="00E050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62B1" w:rsidRDefault="002362B1" w:rsidP="00E0508A">
      <w:r>
        <w:separator/>
      </w:r>
    </w:p>
  </w:footnote>
  <w:footnote w:type="continuationSeparator" w:id="0">
    <w:p w:rsidR="002362B1" w:rsidRDefault="002362B1" w:rsidP="00E050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4A33"/>
    <w:rsid w:val="002362B1"/>
    <w:rsid w:val="0060711B"/>
    <w:rsid w:val="008D19F3"/>
    <w:rsid w:val="008F338F"/>
    <w:rsid w:val="00E0508A"/>
    <w:rsid w:val="00F94A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D19F3"/>
    <w:rPr>
      <w:strike w:val="0"/>
      <w:dstrike w:val="0"/>
      <w:color w:val="4A2B04"/>
      <w:u w:val="none"/>
      <w:effect w:val="none"/>
    </w:rPr>
  </w:style>
  <w:style w:type="paragraph" w:styleId="a4">
    <w:name w:val="header"/>
    <w:basedOn w:val="a"/>
    <w:link w:val="Char"/>
    <w:uiPriority w:val="99"/>
    <w:unhideWhenUsed/>
    <w:rsid w:val="00E0508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E0508A"/>
    <w:rPr>
      <w:sz w:val="18"/>
      <w:szCs w:val="18"/>
    </w:rPr>
  </w:style>
  <w:style w:type="paragraph" w:styleId="a5">
    <w:name w:val="footer"/>
    <w:basedOn w:val="a"/>
    <w:link w:val="Char0"/>
    <w:uiPriority w:val="99"/>
    <w:unhideWhenUsed/>
    <w:rsid w:val="00E0508A"/>
    <w:pPr>
      <w:tabs>
        <w:tab w:val="center" w:pos="4153"/>
        <w:tab w:val="right" w:pos="8306"/>
      </w:tabs>
      <w:snapToGrid w:val="0"/>
      <w:jc w:val="left"/>
    </w:pPr>
    <w:rPr>
      <w:sz w:val="18"/>
      <w:szCs w:val="18"/>
    </w:rPr>
  </w:style>
  <w:style w:type="character" w:customStyle="1" w:styleId="Char0">
    <w:name w:val="页脚 Char"/>
    <w:basedOn w:val="a0"/>
    <w:link w:val="a5"/>
    <w:uiPriority w:val="99"/>
    <w:rsid w:val="00E0508A"/>
    <w:rPr>
      <w:sz w:val="18"/>
      <w:szCs w:val="18"/>
    </w:rPr>
  </w:style>
  <w:style w:type="character" w:customStyle="1" w:styleId="style31">
    <w:name w:val="style31"/>
    <w:basedOn w:val="a0"/>
    <w:rsid w:val="00E0508A"/>
    <w:rPr>
      <w:color w:val="C1DDF5"/>
    </w:rPr>
  </w:style>
  <w:style w:type="paragraph" w:styleId="a6">
    <w:name w:val="Normal (Web)"/>
    <w:basedOn w:val="a"/>
    <w:uiPriority w:val="99"/>
    <w:unhideWhenUsed/>
    <w:rsid w:val="00E0508A"/>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D19F3"/>
    <w:rPr>
      <w:strike w:val="0"/>
      <w:dstrike w:val="0"/>
      <w:color w:val="4A2B04"/>
      <w:u w:val="none"/>
      <w:effect w:val="none"/>
    </w:rPr>
  </w:style>
  <w:style w:type="paragraph" w:styleId="a4">
    <w:name w:val="header"/>
    <w:basedOn w:val="a"/>
    <w:link w:val="Char"/>
    <w:uiPriority w:val="99"/>
    <w:unhideWhenUsed/>
    <w:rsid w:val="00E0508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E0508A"/>
    <w:rPr>
      <w:sz w:val="18"/>
      <w:szCs w:val="18"/>
    </w:rPr>
  </w:style>
  <w:style w:type="paragraph" w:styleId="a5">
    <w:name w:val="footer"/>
    <w:basedOn w:val="a"/>
    <w:link w:val="Char0"/>
    <w:uiPriority w:val="99"/>
    <w:unhideWhenUsed/>
    <w:rsid w:val="00E0508A"/>
    <w:pPr>
      <w:tabs>
        <w:tab w:val="center" w:pos="4153"/>
        <w:tab w:val="right" w:pos="8306"/>
      </w:tabs>
      <w:snapToGrid w:val="0"/>
      <w:jc w:val="left"/>
    </w:pPr>
    <w:rPr>
      <w:sz w:val="18"/>
      <w:szCs w:val="18"/>
    </w:rPr>
  </w:style>
  <w:style w:type="character" w:customStyle="1" w:styleId="Char0">
    <w:name w:val="页脚 Char"/>
    <w:basedOn w:val="a0"/>
    <w:link w:val="a5"/>
    <w:uiPriority w:val="99"/>
    <w:rsid w:val="00E0508A"/>
    <w:rPr>
      <w:sz w:val="18"/>
      <w:szCs w:val="18"/>
    </w:rPr>
  </w:style>
  <w:style w:type="character" w:customStyle="1" w:styleId="style31">
    <w:name w:val="style31"/>
    <w:basedOn w:val="a0"/>
    <w:rsid w:val="00E0508A"/>
    <w:rPr>
      <w:color w:val="C1DDF5"/>
    </w:rPr>
  </w:style>
  <w:style w:type="paragraph" w:styleId="a6">
    <w:name w:val="Normal (Web)"/>
    <w:basedOn w:val="a"/>
    <w:uiPriority w:val="99"/>
    <w:unhideWhenUsed/>
    <w:rsid w:val="00E0508A"/>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1101489">
      <w:bodyDiv w:val="1"/>
      <w:marLeft w:val="0"/>
      <w:marRight w:val="0"/>
      <w:marTop w:val="0"/>
      <w:marBottom w:val="0"/>
      <w:divBdr>
        <w:top w:val="none" w:sz="0" w:space="0" w:color="auto"/>
        <w:left w:val="none" w:sz="0" w:space="0" w:color="auto"/>
        <w:bottom w:val="none" w:sz="0" w:space="0" w:color="auto"/>
        <w:right w:val="none" w:sz="0" w:space="0" w:color="auto"/>
      </w:divBdr>
      <w:divsChild>
        <w:div w:id="1459832573">
          <w:marLeft w:val="0"/>
          <w:marRight w:val="0"/>
          <w:marTop w:val="0"/>
          <w:marBottom w:val="0"/>
          <w:divBdr>
            <w:top w:val="none" w:sz="0" w:space="0" w:color="auto"/>
            <w:left w:val="none" w:sz="0" w:space="0" w:color="auto"/>
            <w:bottom w:val="none" w:sz="0" w:space="0" w:color="auto"/>
            <w:right w:val="none" w:sz="0" w:space="0" w:color="auto"/>
          </w:divBdr>
        </w:div>
        <w:div w:id="1914777208">
          <w:marLeft w:val="0"/>
          <w:marRight w:val="0"/>
          <w:marTop w:val="0"/>
          <w:marBottom w:val="0"/>
          <w:divBdr>
            <w:top w:val="none" w:sz="0" w:space="0" w:color="auto"/>
            <w:left w:val="none" w:sz="0" w:space="0" w:color="auto"/>
            <w:bottom w:val="none" w:sz="0" w:space="0" w:color="auto"/>
            <w:right w:val="none" w:sz="0" w:space="0" w:color="auto"/>
          </w:divBdr>
        </w:div>
        <w:div w:id="1289772951">
          <w:marLeft w:val="0"/>
          <w:marRight w:val="0"/>
          <w:marTop w:val="0"/>
          <w:marBottom w:val="0"/>
          <w:divBdr>
            <w:top w:val="none" w:sz="0" w:space="0" w:color="auto"/>
            <w:left w:val="none" w:sz="0" w:space="0" w:color="auto"/>
            <w:bottom w:val="none" w:sz="0" w:space="0" w:color="auto"/>
            <w:right w:val="none" w:sz="0" w:space="0" w:color="auto"/>
          </w:divBdr>
        </w:div>
        <w:div w:id="1529635137">
          <w:marLeft w:val="0"/>
          <w:marRight w:val="0"/>
          <w:marTop w:val="0"/>
          <w:marBottom w:val="0"/>
          <w:divBdr>
            <w:top w:val="none" w:sz="0" w:space="0" w:color="auto"/>
            <w:left w:val="none" w:sz="0" w:space="0" w:color="auto"/>
            <w:bottom w:val="none" w:sz="0" w:space="0" w:color="auto"/>
            <w:right w:val="none" w:sz="0" w:space="0" w:color="auto"/>
          </w:divBdr>
        </w:div>
        <w:div w:id="785733457">
          <w:marLeft w:val="0"/>
          <w:marRight w:val="0"/>
          <w:marTop w:val="0"/>
          <w:marBottom w:val="0"/>
          <w:divBdr>
            <w:top w:val="none" w:sz="0" w:space="0" w:color="auto"/>
            <w:left w:val="none" w:sz="0" w:space="0" w:color="auto"/>
            <w:bottom w:val="none" w:sz="0" w:space="0" w:color="auto"/>
            <w:right w:val="none" w:sz="0" w:space="0" w:color="auto"/>
          </w:divBdr>
        </w:div>
        <w:div w:id="1704090084">
          <w:marLeft w:val="0"/>
          <w:marRight w:val="0"/>
          <w:marTop w:val="0"/>
          <w:marBottom w:val="0"/>
          <w:divBdr>
            <w:top w:val="none" w:sz="0" w:space="0" w:color="auto"/>
            <w:left w:val="none" w:sz="0" w:space="0" w:color="auto"/>
            <w:bottom w:val="none" w:sz="0" w:space="0" w:color="auto"/>
            <w:right w:val="none" w:sz="0" w:space="0" w:color="auto"/>
          </w:divBdr>
        </w:div>
        <w:div w:id="557593360">
          <w:marLeft w:val="0"/>
          <w:marRight w:val="0"/>
          <w:marTop w:val="0"/>
          <w:marBottom w:val="0"/>
          <w:divBdr>
            <w:top w:val="none" w:sz="0" w:space="0" w:color="auto"/>
            <w:left w:val="none" w:sz="0" w:space="0" w:color="auto"/>
            <w:bottom w:val="none" w:sz="0" w:space="0" w:color="auto"/>
            <w:right w:val="none" w:sz="0" w:space="0" w:color="auto"/>
          </w:divBdr>
        </w:div>
        <w:div w:id="198932639">
          <w:marLeft w:val="0"/>
          <w:marRight w:val="0"/>
          <w:marTop w:val="0"/>
          <w:marBottom w:val="0"/>
          <w:divBdr>
            <w:top w:val="none" w:sz="0" w:space="0" w:color="auto"/>
            <w:left w:val="none" w:sz="0" w:space="0" w:color="auto"/>
            <w:bottom w:val="none" w:sz="0" w:space="0" w:color="auto"/>
            <w:right w:val="none" w:sz="0" w:space="0" w:color="auto"/>
          </w:divBdr>
        </w:div>
        <w:div w:id="635716188">
          <w:marLeft w:val="0"/>
          <w:marRight w:val="0"/>
          <w:marTop w:val="0"/>
          <w:marBottom w:val="0"/>
          <w:divBdr>
            <w:top w:val="none" w:sz="0" w:space="0" w:color="auto"/>
            <w:left w:val="none" w:sz="0" w:space="0" w:color="auto"/>
            <w:bottom w:val="none" w:sz="0" w:space="0" w:color="auto"/>
            <w:right w:val="none" w:sz="0" w:space="0" w:color="auto"/>
          </w:divBdr>
        </w:div>
        <w:div w:id="1313362892">
          <w:marLeft w:val="0"/>
          <w:marRight w:val="0"/>
          <w:marTop w:val="0"/>
          <w:marBottom w:val="0"/>
          <w:divBdr>
            <w:top w:val="none" w:sz="0" w:space="0" w:color="auto"/>
            <w:left w:val="none" w:sz="0" w:space="0" w:color="auto"/>
            <w:bottom w:val="none" w:sz="0" w:space="0" w:color="auto"/>
            <w:right w:val="none" w:sz="0" w:space="0" w:color="auto"/>
          </w:divBdr>
        </w:div>
        <w:div w:id="1657805970">
          <w:marLeft w:val="0"/>
          <w:marRight w:val="0"/>
          <w:marTop w:val="0"/>
          <w:marBottom w:val="0"/>
          <w:divBdr>
            <w:top w:val="none" w:sz="0" w:space="0" w:color="auto"/>
            <w:left w:val="none" w:sz="0" w:space="0" w:color="auto"/>
            <w:bottom w:val="none" w:sz="0" w:space="0" w:color="auto"/>
            <w:right w:val="none" w:sz="0" w:space="0" w:color="auto"/>
          </w:divBdr>
        </w:div>
        <w:div w:id="725297962">
          <w:marLeft w:val="0"/>
          <w:marRight w:val="0"/>
          <w:marTop w:val="0"/>
          <w:marBottom w:val="0"/>
          <w:divBdr>
            <w:top w:val="none" w:sz="0" w:space="0" w:color="auto"/>
            <w:left w:val="none" w:sz="0" w:space="0" w:color="auto"/>
            <w:bottom w:val="none" w:sz="0" w:space="0" w:color="auto"/>
            <w:right w:val="none" w:sz="0" w:space="0" w:color="auto"/>
          </w:divBdr>
        </w:div>
        <w:div w:id="13309209">
          <w:marLeft w:val="0"/>
          <w:marRight w:val="0"/>
          <w:marTop w:val="0"/>
          <w:marBottom w:val="0"/>
          <w:divBdr>
            <w:top w:val="none" w:sz="0" w:space="0" w:color="auto"/>
            <w:left w:val="none" w:sz="0" w:space="0" w:color="auto"/>
            <w:bottom w:val="none" w:sz="0" w:space="0" w:color="auto"/>
            <w:right w:val="none" w:sz="0" w:space="0" w:color="auto"/>
          </w:divBdr>
        </w:div>
        <w:div w:id="2126924184">
          <w:marLeft w:val="0"/>
          <w:marRight w:val="0"/>
          <w:marTop w:val="0"/>
          <w:marBottom w:val="0"/>
          <w:divBdr>
            <w:top w:val="none" w:sz="0" w:space="0" w:color="auto"/>
            <w:left w:val="none" w:sz="0" w:space="0" w:color="auto"/>
            <w:bottom w:val="none" w:sz="0" w:space="0" w:color="auto"/>
            <w:right w:val="none" w:sz="0" w:space="0" w:color="auto"/>
          </w:divBdr>
        </w:div>
        <w:div w:id="1686250744">
          <w:marLeft w:val="0"/>
          <w:marRight w:val="0"/>
          <w:marTop w:val="0"/>
          <w:marBottom w:val="0"/>
          <w:divBdr>
            <w:top w:val="none" w:sz="0" w:space="0" w:color="auto"/>
            <w:left w:val="none" w:sz="0" w:space="0" w:color="auto"/>
            <w:bottom w:val="none" w:sz="0" w:space="0" w:color="auto"/>
            <w:right w:val="none" w:sz="0" w:space="0" w:color="auto"/>
          </w:divBdr>
        </w:div>
        <w:div w:id="1657034351">
          <w:marLeft w:val="0"/>
          <w:marRight w:val="0"/>
          <w:marTop w:val="0"/>
          <w:marBottom w:val="0"/>
          <w:divBdr>
            <w:top w:val="none" w:sz="0" w:space="0" w:color="auto"/>
            <w:left w:val="none" w:sz="0" w:space="0" w:color="auto"/>
            <w:bottom w:val="none" w:sz="0" w:space="0" w:color="auto"/>
            <w:right w:val="none" w:sz="0" w:space="0" w:color="auto"/>
          </w:divBdr>
        </w:div>
        <w:div w:id="89012308">
          <w:marLeft w:val="0"/>
          <w:marRight w:val="0"/>
          <w:marTop w:val="0"/>
          <w:marBottom w:val="0"/>
          <w:divBdr>
            <w:top w:val="none" w:sz="0" w:space="0" w:color="auto"/>
            <w:left w:val="none" w:sz="0" w:space="0" w:color="auto"/>
            <w:bottom w:val="none" w:sz="0" w:space="0" w:color="auto"/>
            <w:right w:val="none" w:sz="0" w:space="0" w:color="auto"/>
          </w:divBdr>
        </w:div>
        <w:div w:id="402222745">
          <w:marLeft w:val="0"/>
          <w:marRight w:val="0"/>
          <w:marTop w:val="0"/>
          <w:marBottom w:val="0"/>
          <w:divBdr>
            <w:top w:val="none" w:sz="0" w:space="0" w:color="auto"/>
            <w:left w:val="none" w:sz="0" w:space="0" w:color="auto"/>
            <w:bottom w:val="none" w:sz="0" w:space="0" w:color="auto"/>
            <w:right w:val="none" w:sz="0" w:space="0" w:color="auto"/>
          </w:divBdr>
        </w:div>
        <w:div w:id="355736905">
          <w:marLeft w:val="0"/>
          <w:marRight w:val="0"/>
          <w:marTop w:val="0"/>
          <w:marBottom w:val="0"/>
          <w:divBdr>
            <w:top w:val="none" w:sz="0" w:space="0" w:color="auto"/>
            <w:left w:val="none" w:sz="0" w:space="0" w:color="auto"/>
            <w:bottom w:val="none" w:sz="0" w:space="0" w:color="auto"/>
            <w:right w:val="none" w:sz="0" w:space="0" w:color="auto"/>
          </w:divBdr>
        </w:div>
        <w:div w:id="220871728">
          <w:marLeft w:val="0"/>
          <w:marRight w:val="0"/>
          <w:marTop w:val="0"/>
          <w:marBottom w:val="0"/>
          <w:divBdr>
            <w:top w:val="none" w:sz="0" w:space="0" w:color="auto"/>
            <w:left w:val="none" w:sz="0" w:space="0" w:color="auto"/>
            <w:bottom w:val="none" w:sz="0" w:space="0" w:color="auto"/>
            <w:right w:val="none" w:sz="0" w:space="0" w:color="auto"/>
          </w:divBdr>
        </w:div>
        <w:div w:id="363021418">
          <w:marLeft w:val="0"/>
          <w:marRight w:val="0"/>
          <w:marTop w:val="0"/>
          <w:marBottom w:val="0"/>
          <w:divBdr>
            <w:top w:val="none" w:sz="0" w:space="0" w:color="auto"/>
            <w:left w:val="none" w:sz="0" w:space="0" w:color="auto"/>
            <w:bottom w:val="none" w:sz="0" w:space="0" w:color="auto"/>
            <w:right w:val="none" w:sz="0" w:space="0" w:color="auto"/>
          </w:divBdr>
        </w:div>
        <w:div w:id="987855096">
          <w:marLeft w:val="0"/>
          <w:marRight w:val="0"/>
          <w:marTop w:val="0"/>
          <w:marBottom w:val="0"/>
          <w:divBdr>
            <w:top w:val="none" w:sz="0" w:space="0" w:color="auto"/>
            <w:left w:val="none" w:sz="0" w:space="0" w:color="auto"/>
            <w:bottom w:val="none" w:sz="0" w:space="0" w:color="auto"/>
            <w:right w:val="none" w:sz="0" w:space="0" w:color="auto"/>
          </w:divBdr>
        </w:div>
        <w:div w:id="1630286043">
          <w:marLeft w:val="0"/>
          <w:marRight w:val="0"/>
          <w:marTop w:val="0"/>
          <w:marBottom w:val="0"/>
          <w:divBdr>
            <w:top w:val="none" w:sz="0" w:space="0" w:color="auto"/>
            <w:left w:val="none" w:sz="0" w:space="0" w:color="auto"/>
            <w:bottom w:val="none" w:sz="0" w:space="0" w:color="auto"/>
            <w:right w:val="none" w:sz="0" w:space="0" w:color="auto"/>
          </w:divBdr>
        </w:div>
        <w:div w:id="1277248366">
          <w:marLeft w:val="0"/>
          <w:marRight w:val="0"/>
          <w:marTop w:val="0"/>
          <w:marBottom w:val="0"/>
          <w:divBdr>
            <w:top w:val="none" w:sz="0" w:space="0" w:color="auto"/>
            <w:left w:val="none" w:sz="0" w:space="0" w:color="auto"/>
            <w:bottom w:val="none" w:sz="0" w:space="0" w:color="auto"/>
            <w:right w:val="none" w:sz="0" w:space="0" w:color="auto"/>
          </w:divBdr>
        </w:div>
        <w:div w:id="35929914">
          <w:marLeft w:val="0"/>
          <w:marRight w:val="0"/>
          <w:marTop w:val="0"/>
          <w:marBottom w:val="0"/>
          <w:divBdr>
            <w:top w:val="none" w:sz="0" w:space="0" w:color="auto"/>
            <w:left w:val="none" w:sz="0" w:space="0" w:color="auto"/>
            <w:bottom w:val="none" w:sz="0" w:space="0" w:color="auto"/>
            <w:right w:val="none" w:sz="0" w:space="0" w:color="auto"/>
          </w:divBdr>
        </w:div>
        <w:div w:id="9222234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92</Words>
  <Characters>530</Characters>
  <Application>Microsoft Office Word</Application>
  <DocSecurity>0</DocSecurity>
  <Lines>4</Lines>
  <Paragraphs>1</Paragraphs>
  <ScaleCrop>false</ScaleCrop>
  <Company>微软中国</Company>
  <LinksUpToDate>false</LinksUpToDate>
  <CharactersWithSpaces>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chengyuan</cp:lastModifiedBy>
  <cp:revision>5</cp:revision>
  <dcterms:created xsi:type="dcterms:W3CDTF">2013-07-25T08:12:00Z</dcterms:created>
  <dcterms:modified xsi:type="dcterms:W3CDTF">2013-10-16T02:10:00Z</dcterms:modified>
</cp:coreProperties>
</file>