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D9D" w:rsidRDefault="00F72D9D" w:rsidP="00F72D9D">
      <w:pPr>
        <w:widowControl/>
        <w:spacing w:before="100" w:beforeAutospacing="1" w:after="100" w:afterAutospacing="1" w:line="379" w:lineRule="auto"/>
        <w:jc w:val="center"/>
        <w:rPr>
          <w:rFonts w:ascii="Arial" w:eastAsia="宋体" w:hAnsi="Arial" w:cs="Arial" w:hint="eastAsia"/>
          <w:color w:val="FF0000"/>
          <w:kern w:val="0"/>
          <w:sz w:val="24"/>
          <w:szCs w:val="24"/>
        </w:rPr>
      </w:pPr>
      <w:r w:rsidRPr="00F72D9D">
        <w:rPr>
          <w:rFonts w:ascii="Arial" w:eastAsia="宋体" w:hAnsi="Arial" w:cs="Arial"/>
          <w:color w:val="FF0000"/>
          <w:kern w:val="0"/>
          <w:sz w:val="24"/>
          <w:szCs w:val="24"/>
        </w:rPr>
        <w:t>财政部国家税务总局</w:t>
      </w:r>
    </w:p>
    <w:p w:rsidR="00F72D9D" w:rsidRPr="00F72D9D" w:rsidRDefault="00F72D9D" w:rsidP="00F72D9D">
      <w:pPr>
        <w:widowControl/>
        <w:spacing w:before="100" w:beforeAutospacing="1" w:after="100" w:afterAutospacing="1" w:line="379" w:lineRule="auto"/>
        <w:jc w:val="center"/>
        <w:rPr>
          <w:rFonts w:ascii="Arial" w:eastAsia="宋体" w:hAnsi="Arial" w:cs="Arial"/>
          <w:color w:val="454545"/>
          <w:kern w:val="0"/>
          <w:sz w:val="18"/>
          <w:szCs w:val="18"/>
        </w:rPr>
      </w:pPr>
      <w:bookmarkStart w:id="0" w:name="_GoBack"/>
      <w:r w:rsidRPr="00F72D9D">
        <w:rPr>
          <w:rFonts w:ascii="Arial" w:eastAsia="宋体" w:hAnsi="Arial" w:cs="Arial"/>
          <w:color w:val="FF0000"/>
          <w:kern w:val="0"/>
          <w:sz w:val="24"/>
          <w:szCs w:val="24"/>
        </w:rPr>
        <w:t>关于退还集成电路企业采购设备增值税期末留抵税额的通知</w:t>
      </w:r>
      <w:bookmarkEnd w:id="0"/>
    </w:p>
    <w:p w:rsidR="00F72D9D" w:rsidRPr="00F72D9D" w:rsidRDefault="00F72D9D" w:rsidP="00F72D9D">
      <w:pPr>
        <w:widowControl/>
        <w:spacing w:before="100" w:beforeAutospacing="1" w:after="100" w:afterAutospacing="1" w:line="379" w:lineRule="auto"/>
        <w:jc w:val="center"/>
        <w:rPr>
          <w:rFonts w:ascii="Arial" w:eastAsia="宋体" w:hAnsi="Arial" w:cs="Arial"/>
          <w:color w:val="454545"/>
          <w:kern w:val="0"/>
          <w:sz w:val="18"/>
          <w:szCs w:val="18"/>
        </w:rPr>
      </w:pPr>
      <w:r w:rsidRPr="00F72D9D">
        <w:rPr>
          <w:rFonts w:ascii="Arial" w:eastAsia="宋体" w:hAnsi="Arial" w:cs="Arial"/>
          <w:color w:val="0000FF"/>
          <w:kern w:val="0"/>
          <w:sz w:val="20"/>
          <w:szCs w:val="20"/>
        </w:rPr>
        <w:t>财税</w:t>
      </w:r>
      <w:r w:rsidRPr="00F72D9D">
        <w:rPr>
          <w:rFonts w:ascii="Arial" w:eastAsia="宋体" w:hAnsi="Arial" w:cs="Arial"/>
          <w:color w:val="0000FF"/>
          <w:kern w:val="0"/>
          <w:sz w:val="20"/>
          <w:szCs w:val="20"/>
        </w:rPr>
        <w:t>[2011]107</w:t>
      </w:r>
      <w:r w:rsidRPr="00F72D9D">
        <w:rPr>
          <w:rFonts w:ascii="Arial" w:eastAsia="宋体" w:hAnsi="Arial" w:cs="Arial"/>
          <w:color w:val="0000FF"/>
          <w:kern w:val="0"/>
          <w:sz w:val="20"/>
          <w:szCs w:val="20"/>
        </w:rPr>
        <w:t>号</w:t>
      </w:r>
      <w:r w:rsidRPr="00F72D9D">
        <w:rPr>
          <w:rFonts w:ascii="Arial" w:eastAsia="宋体" w:hAnsi="Arial" w:cs="Arial"/>
          <w:color w:val="454545"/>
          <w:kern w:val="0"/>
          <w:sz w:val="20"/>
          <w:szCs w:val="20"/>
        </w:rPr>
        <w:t>                        2011.11.14</w:t>
      </w:r>
    </w:p>
    <w:p w:rsidR="00F72D9D" w:rsidRPr="00F72D9D" w:rsidRDefault="00F72D9D" w:rsidP="00F72D9D">
      <w:pPr>
        <w:widowControl/>
        <w:spacing w:before="100" w:beforeAutospacing="1" w:after="100" w:afterAutospacing="1" w:line="379" w:lineRule="auto"/>
        <w:jc w:val="left"/>
        <w:rPr>
          <w:rFonts w:ascii="Arial" w:eastAsia="宋体" w:hAnsi="Arial" w:cs="Arial"/>
          <w:color w:val="454545"/>
          <w:kern w:val="0"/>
          <w:sz w:val="18"/>
          <w:szCs w:val="18"/>
        </w:rPr>
      </w:pPr>
      <w:r w:rsidRPr="00F72D9D">
        <w:rPr>
          <w:rFonts w:ascii="Arial" w:eastAsia="宋体" w:hAnsi="Arial" w:cs="Arial"/>
          <w:color w:val="454545"/>
          <w:kern w:val="0"/>
          <w:sz w:val="20"/>
          <w:szCs w:val="20"/>
        </w:rPr>
        <w:t>北京、天津、内蒙古、大连、上海、江苏、安徽、厦门、湖北、深圳、重庆、广东省（自治区、直辖市、计划单列市）财政厅（局）、国家税务局，财政部驻北京、天津、内蒙古、大连、上海、江苏、安徽、厦门、湖北、深圳、重庆、广东省（自治区、直辖市、计划单列市）财政监察专员办事处：</w:t>
      </w:r>
    </w:p>
    <w:p w:rsidR="00F72D9D" w:rsidRPr="00F72D9D" w:rsidRDefault="00F72D9D" w:rsidP="00F72D9D">
      <w:pPr>
        <w:widowControl/>
        <w:spacing w:before="100" w:beforeAutospacing="1" w:after="100" w:afterAutospacing="1" w:line="379" w:lineRule="auto"/>
        <w:jc w:val="left"/>
        <w:rPr>
          <w:rFonts w:ascii="Arial" w:eastAsia="宋体" w:hAnsi="Arial" w:cs="Arial"/>
          <w:color w:val="454545"/>
          <w:kern w:val="0"/>
          <w:sz w:val="18"/>
          <w:szCs w:val="18"/>
        </w:rPr>
      </w:pPr>
      <w:r w:rsidRPr="00F72D9D">
        <w:rPr>
          <w:rFonts w:ascii="Arial" w:eastAsia="宋体" w:hAnsi="Arial" w:cs="Arial"/>
          <w:color w:val="454545"/>
          <w:kern w:val="0"/>
          <w:sz w:val="20"/>
          <w:szCs w:val="20"/>
        </w:rPr>
        <w:t>为落实《国务院关于印发进一步鼓励软件产业和集成电路产业发展若干政策的通知》（国发</w:t>
      </w:r>
      <w:r w:rsidRPr="00F72D9D">
        <w:rPr>
          <w:rFonts w:ascii="Arial" w:eastAsia="宋体" w:hAnsi="Arial" w:cs="Arial"/>
          <w:color w:val="454545"/>
          <w:kern w:val="0"/>
          <w:sz w:val="20"/>
          <w:szCs w:val="20"/>
        </w:rPr>
        <w:t>[2011]4</w:t>
      </w:r>
      <w:r w:rsidRPr="00F72D9D">
        <w:rPr>
          <w:rFonts w:ascii="Arial" w:eastAsia="宋体" w:hAnsi="Arial" w:cs="Arial"/>
          <w:color w:val="454545"/>
          <w:kern w:val="0"/>
          <w:sz w:val="20"/>
          <w:szCs w:val="20"/>
        </w:rPr>
        <w:t>号）有关要求，解决集成电路重大项目企业采购设备引起的增值税进项税额占用资金问题，决定对其因购进设备形成的增值税期末留抵税额予以退还。现将有关事项通知如下：</w:t>
      </w:r>
    </w:p>
    <w:p w:rsidR="00F72D9D" w:rsidRPr="00F72D9D" w:rsidRDefault="00F72D9D" w:rsidP="00F72D9D">
      <w:pPr>
        <w:widowControl/>
        <w:spacing w:before="100" w:beforeAutospacing="1" w:after="100" w:afterAutospacing="1" w:line="379" w:lineRule="auto"/>
        <w:jc w:val="left"/>
        <w:rPr>
          <w:rFonts w:ascii="Arial" w:eastAsia="宋体" w:hAnsi="Arial" w:cs="Arial"/>
          <w:color w:val="454545"/>
          <w:kern w:val="0"/>
          <w:sz w:val="18"/>
          <w:szCs w:val="18"/>
        </w:rPr>
      </w:pPr>
      <w:r w:rsidRPr="00F72D9D">
        <w:rPr>
          <w:rFonts w:ascii="Arial" w:eastAsia="宋体" w:hAnsi="Arial" w:cs="Arial"/>
          <w:color w:val="454545"/>
          <w:kern w:val="0"/>
          <w:sz w:val="20"/>
          <w:szCs w:val="20"/>
        </w:rPr>
        <w:t>一、对国家批准的集成电路重大项目企业（具体名单见附件）因购进设备形成的增值税期末留抵税额（以下称购进设备留抵税额）准予退还。购进的设备应属于《中华人民共和国增值税暂行条例实施细则》第二十一条第二款规定的固定资产范围。</w:t>
      </w:r>
    </w:p>
    <w:p w:rsidR="00F72D9D" w:rsidRPr="00F72D9D" w:rsidRDefault="00F72D9D" w:rsidP="00F72D9D">
      <w:pPr>
        <w:widowControl/>
        <w:spacing w:before="100" w:beforeAutospacing="1" w:after="100" w:afterAutospacing="1" w:line="379" w:lineRule="auto"/>
        <w:jc w:val="left"/>
        <w:rPr>
          <w:rFonts w:ascii="Arial" w:eastAsia="宋体" w:hAnsi="Arial" w:cs="Arial"/>
          <w:color w:val="454545"/>
          <w:kern w:val="0"/>
          <w:sz w:val="20"/>
          <w:szCs w:val="20"/>
        </w:rPr>
      </w:pPr>
      <w:r w:rsidRPr="00F72D9D">
        <w:rPr>
          <w:rFonts w:ascii="Arial" w:eastAsia="宋体" w:hAnsi="Arial" w:cs="Arial"/>
          <w:color w:val="454545"/>
          <w:kern w:val="0"/>
          <w:sz w:val="20"/>
          <w:szCs w:val="20"/>
        </w:rPr>
        <w:t>二、准予退还的购进设备留抵税额的计算</w:t>
      </w:r>
      <w:r w:rsidRPr="00F72D9D">
        <w:rPr>
          <w:rFonts w:ascii="Arial" w:eastAsia="宋体" w:hAnsi="Arial" w:cs="Arial"/>
          <w:color w:val="454545"/>
          <w:kern w:val="0"/>
          <w:sz w:val="20"/>
          <w:szCs w:val="20"/>
        </w:rPr>
        <w:br/>
      </w:r>
      <w:r w:rsidRPr="00F72D9D">
        <w:rPr>
          <w:rFonts w:ascii="Arial" w:eastAsia="宋体" w:hAnsi="Arial" w:cs="Arial"/>
          <w:color w:val="454545"/>
          <w:kern w:val="0"/>
          <w:sz w:val="20"/>
          <w:szCs w:val="20"/>
        </w:rPr>
        <w:t>企业当期购进设备进项税额大于当期增值税纳税申报表</w:t>
      </w:r>
      <w:r w:rsidRPr="00F72D9D">
        <w:rPr>
          <w:rFonts w:ascii="Arial" w:eastAsia="宋体" w:hAnsi="Arial" w:cs="Arial"/>
          <w:color w:val="454545"/>
          <w:kern w:val="0"/>
          <w:sz w:val="20"/>
          <w:szCs w:val="20"/>
        </w:rPr>
        <w:t>“</w:t>
      </w:r>
      <w:r w:rsidRPr="00F72D9D">
        <w:rPr>
          <w:rFonts w:ascii="Arial" w:eastAsia="宋体" w:hAnsi="Arial" w:cs="Arial"/>
          <w:color w:val="454545"/>
          <w:kern w:val="0"/>
          <w:sz w:val="20"/>
          <w:szCs w:val="20"/>
        </w:rPr>
        <w:t>期末留抵税额</w:t>
      </w:r>
      <w:r w:rsidRPr="00F72D9D">
        <w:rPr>
          <w:rFonts w:ascii="Arial" w:eastAsia="宋体" w:hAnsi="Arial" w:cs="Arial"/>
          <w:color w:val="454545"/>
          <w:kern w:val="0"/>
          <w:sz w:val="20"/>
          <w:szCs w:val="20"/>
        </w:rPr>
        <w:t>”</w:t>
      </w:r>
      <w:r w:rsidRPr="00F72D9D">
        <w:rPr>
          <w:rFonts w:ascii="Arial" w:eastAsia="宋体" w:hAnsi="Arial" w:cs="Arial"/>
          <w:color w:val="454545"/>
          <w:kern w:val="0"/>
          <w:sz w:val="20"/>
          <w:szCs w:val="20"/>
        </w:rPr>
        <w:t>的，当期准予退还的购进设备留抵税额为期末留抵税额；企业当期购进设备进项税额小于当期增值税纳税申报表</w:t>
      </w:r>
      <w:r w:rsidRPr="00F72D9D">
        <w:rPr>
          <w:rFonts w:ascii="Arial" w:eastAsia="宋体" w:hAnsi="Arial" w:cs="Arial"/>
          <w:color w:val="454545"/>
          <w:kern w:val="0"/>
          <w:sz w:val="20"/>
          <w:szCs w:val="20"/>
        </w:rPr>
        <w:t>“</w:t>
      </w:r>
      <w:r w:rsidRPr="00F72D9D">
        <w:rPr>
          <w:rFonts w:ascii="Arial" w:eastAsia="宋体" w:hAnsi="Arial" w:cs="Arial"/>
          <w:color w:val="454545"/>
          <w:kern w:val="0"/>
          <w:sz w:val="20"/>
          <w:szCs w:val="20"/>
        </w:rPr>
        <w:t>期末留抵税额</w:t>
      </w:r>
      <w:r w:rsidRPr="00F72D9D">
        <w:rPr>
          <w:rFonts w:ascii="Arial" w:eastAsia="宋体" w:hAnsi="Arial" w:cs="Arial"/>
          <w:color w:val="454545"/>
          <w:kern w:val="0"/>
          <w:sz w:val="20"/>
          <w:szCs w:val="20"/>
        </w:rPr>
        <w:t>”</w:t>
      </w:r>
      <w:r w:rsidRPr="00F72D9D">
        <w:rPr>
          <w:rFonts w:ascii="Arial" w:eastAsia="宋体" w:hAnsi="Arial" w:cs="Arial"/>
          <w:color w:val="454545"/>
          <w:kern w:val="0"/>
          <w:sz w:val="20"/>
          <w:szCs w:val="20"/>
        </w:rPr>
        <w:t>的，当期准于退还的购进设备留抵税额为当期购进设备进项税额。</w:t>
      </w:r>
      <w:r w:rsidRPr="00F72D9D">
        <w:rPr>
          <w:rFonts w:ascii="Arial" w:eastAsia="宋体" w:hAnsi="Arial" w:cs="Arial"/>
          <w:color w:val="454545"/>
          <w:kern w:val="0"/>
          <w:sz w:val="18"/>
          <w:szCs w:val="18"/>
        </w:rPr>
        <w:t xml:space="preserve"> </w:t>
      </w:r>
    </w:p>
    <w:p w:rsidR="00F72D9D" w:rsidRPr="00F72D9D" w:rsidRDefault="00F72D9D" w:rsidP="00F72D9D">
      <w:pPr>
        <w:widowControl/>
        <w:spacing w:before="100" w:beforeAutospacing="1" w:after="100" w:afterAutospacing="1" w:line="379" w:lineRule="auto"/>
        <w:jc w:val="left"/>
        <w:rPr>
          <w:rFonts w:ascii="Arial" w:eastAsia="宋体" w:hAnsi="Arial" w:cs="Arial"/>
          <w:color w:val="454545"/>
          <w:kern w:val="0"/>
          <w:sz w:val="18"/>
          <w:szCs w:val="18"/>
        </w:rPr>
      </w:pPr>
      <w:r w:rsidRPr="00F72D9D">
        <w:rPr>
          <w:rFonts w:ascii="Arial" w:eastAsia="宋体" w:hAnsi="Arial" w:cs="Arial"/>
          <w:color w:val="454545"/>
          <w:kern w:val="0"/>
          <w:sz w:val="20"/>
          <w:szCs w:val="20"/>
        </w:rPr>
        <w:t>当期购进设备进项税额，是指企业取得的按照现行规定允许在当期抵扣的增值税专用发票或海关进口增值税专用缴款书（限于</w:t>
      </w:r>
      <w:r w:rsidRPr="00F72D9D">
        <w:rPr>
          <w:rFonts w:ascii="Arial" w:eastAsia="宋体" w:hAnsi="Arial" w:cs="Arial"/>
          <w:color w:val="454545"/>
          <w:kern w:val="0"/>
          <w:sz w:val="20"/>
          <w:szCs w:val="20"/>
        </w:rPr>
        <w:t>2009</w:t>
      </w:r>
      <w:r w:rsidRPr="00F72D9D">
        <w:rPr>
          <w:rFonts w:ascii="Arial" w:eastAsia="宋体" w:hAnsi="Arial" w:cs="Arial"/>
          <w:color w:val="454545"/>
          <w:kern w:val="0"/>
          <w:sz w:val="20"/>
          <w:szCs w:val="20"/>
        </w:rPr>
        <w:t>年</w:t>
      </w:r>
      <w:r w:rsidRPr="00F72D9D">
        <w:rPr>
          <w:rFonts w:ascii="Arial" w:eastAsia="宋体" w:hAnsi="Arial" w:cs="Arial"/>
          <w:color w:val="454545"/>
          <w:kern w:val="0"/>
          <w:sz w:val="20"/>
          <w:szCs w:val="20"/>
        </w:rPr>
        <w:t>1</w:t>
      </w:r>
      <w:r w:rsidRPr="00F72D9D">
        <w:rPr>
          <w:rFonts w:ascii="Arial" w:eastAsia="宋体" w:hAnsi="Arial" w:cs="Arial"/>
          <w:color w:val="454545"/>
          <w:kern w:val="0"/>
          <w:sz w:val="20"/>
          <w:szCs w:val="20"/>
        </w:rPr>
        <w:t>月</w:t>
      </w:r>
      <w:r w:rsidRPr="00F72D9D">
        <w:rPr>
          <w:rFonts w:ascii="Arial" w:eastAsia="宋体" w:hAnsi="Arial" w:cs="Arial"/>
          <w:color w:val="454545"/>
          <w:kern w:val="0"/>
          <w:sz w:val="20"/>
          <w:szCs w:val="20"/>
        </w:rPr>
        <w:t>1</w:t>
      </w:r>
      <w:r w:rsidRPr="00F72D9D">
        <w:rPr>
          <w:rFonts w:ascii="Arial" w:eastAsia="宋体" w:hAnsi="Arial" w:cs="Arial"/>
          <w:color w:val="454545"/>
          <w:kern w:val="0"/>
          <w:sz w:val="20"/>
          <w:szCs w:val="20"/>
        </w:rPr>
        <w:t>日及以后开具的）上注明的增值税额。</w:t>
      </w:r>
    </w:p>
    <w:p w:rsidR="00F72D9D" w:rsidRPr="00F72D9D" w:rsidRDefault="00F72D9D" w:rsidP="00F72D9D">
      <w:pPr>
        <w:widowControl/>
        <w:spacing w:before="100" w:beforeAutospacing="1" w:after="100" w:afterAutospacing="1" w:line="379" w:lineRule="auto"/>
        <w:jc w:val="left"/>
        <w:rPr>
          <w:rFonts w:ascii="Arial" w:eastAsia="宋体" w:hAnsi="Arial" w:cs="Arial"/>
          <w:color w:val="454545"/>
          <w:kern w:val="0"/>
          <w:sz w:val="18"/>
          <w:szCs w:val="18"/>
        </w:rPr>
      </w:pPr>
      <w:r w:rsidRPr="00F72D9D">
        <w:rPr>
          <w:rFonts w:ascii="Arial" w:eastAsia="宋体" w:hAnsi="Arial" w:cs="Arial"/>
          <w:color w:val="454545"/>
          <w:kern w:val="0"/>
          <w:sz w:val="20"/>
          <w:szCs w:val="20"/>
        </w:rPr>
        <w:t>三、退还购进设备留抵税额的申请和审批</w:t>
      </w:r>
      <w:r w:rsidRPr="00F72D9D">
        <w:rPr>
          <w:rFonts w:ascii="Arial" w:eastAsia="宋体" w:hAnsi="Arial" w:cs="Arial"/>
          <w:color w:val="454545"/>
          <w:kern w:val="0"/>
          <w:sz w:val="20"/>
          <w:szCs w:val="20"/>
        </w:rPr>
        <w:br/>
      </w:r>
      <w:r w:rsidRPr="00F72D9D">
        <w:rPr>
          <w:rFonts w:ascii="Arial" w:eastAsia="宋体" w:hAnsi="Arial" w:cs="Arial"/>
          <w:color w:val="454545"/>
          <w:kern w:val="0"/>
          <w:sz w:val="20"/>
          <w:szCs w:val="20"/>
        </w:rPr>
        <w:t>（一）企业应于每月申报期结束后</w:t>
      </w:r>
      <w:r w:rsidRPr="00F72D9D">
        <w:rPr>
          <w:rFonts w:ascii="Arial" w:eastAsia="宋体" w:hAnsi="Arial" w:cs="Arial"/>
          <w:color w:val="454545"/>
          <w:kern w:val="0"/>
          <w:sz w:val="20"/>
          <w:szCs w:val="20"/>
        </w:rPr>
        <w:t>10</w:t>
      </w:r>
      <w:r w:rsidRPr="00F72D9D">
        <w:rPr>
          <w:rFonts w:ascii="Arial" w:eastAsia="宋体" w:hAnsi="Arial" w:cs="Arial"/>
          <w:color w:val="454545"/>
          <w:kern w:val="0"/>
          <w:sz w:val="20"/>
          <w:szCs w:val="20"/>
        </w:rPr>
        <w:t>个工作日内向主管税务机关申请退还购进设备留抵税额。</w:t>
      </w:r>
      <w:r w:rsidRPr="00F72D9D">
        <w:rPr>
          <w:rFonts w:ascii="Arial" w:eastAsia="宋体" w:hAnsi="Arial" w:cs="Arial"/>
          <w:color w:val="454545"/>
          <w:kern w:val="0"/>
          <w:sz w:val="20"/>
          <w:szCs w:val="20"/>
        </w:rPr>
        <w:br/>
      </w:r>
      <w:r w:rsidRPr="00F72D9D">
        <w:rPr>
          <w:rFonts w:ascii="Arial" w:eastAsia="宋体" w:hAnsi="Arial" w:cs="Arial"/>
          <w:color w:val="454545"/>
          <w:kern w:val="0"/>
          <w:sz w:val="20"/>
          <w:szCs w:val="20"/>
        </w:rPr>
        <w:t>主管税务机关接到企业申请后，应审核企业提供的增值税专用发票或海关进口增值税专用缴款书</w:t>
      </w:r>
      <w:r w:rsidRPr="00F72D9D">
        <w:rPr>
          <w:rFonts w:ascii="Arial" w:eastAsia="宋体" w:hAnsi="Arial" w:cs="Arial"/>
          <w:color w:val="454545"/>
          <w:kern w:val="0"/>
          <w:sz w:val="20"/>
          <w:szCs w:val="20"/>
        </w:rPr>
        <w:lastRenderedPageBreak/>
        <w:t>是否符合现行政策规定，其注明的设备名称与企业实际购进的设备是否一致，申请退还的购进设备留抵税额是否正确。审核无误后，由县（区、市）级主管税务机关审批。</w:t>
      </w:r>
    </w:p>
    <w:p w:rsidR="00F72D9D" w:rsidRPr="00F72D9D" w:rsidRDefault="00F72D9D" w:rsidP="00F72D9D">
      <w:pPr>
        <w:widowControl/>
        <w:spacing w:before="100" w:beforeAutospacing="1" w:after="100" w:afterAutospacing="1" w:line="379" w:lineRule="auto"/>
        <w:jc w:val="left"/>
        <w:rPr>
          <w:rFonts w:ascii="Arial" w:eastAsia="宋体" w:hAnsi="Arial" w:cs="Arial"/>
          <w:color w:val="454545"/>
          <w:kern w:val="0"/>
          <w:sz w:val="18"/>
          <w:szCs w:val="18"/>
        </w:rPr>
      </w:pPr>
      <w:r w:rsidRPr="00F72D9D">
        <w:rPr>
          <w:rFonts w:ascii="Arial" w:eastAsia="宋体" w:hAnsi="Arial" w:cs="Arial"/>
          <w:color w:val="454545"/>
          <w:kern w:val="0"/>
          <w:sz w:val="20"/>
          <w:szCs w:val="20"/>
        </w:rPr>
        <w:t>（二）企业收到退税款项的当月，应将退税额从增值税进项税额中转出。未转出的，按照《中华人民共和国税收征收管理法》有关规定承担相应法律责任。</w:t>
      </w:r>
    </w:p>
    <w:p w:rsidR="00F72D9D" w:rsidRPr="00F72D9D" w:rsidRDefault="00F72D9D" w:rsidP="00F72D9D">
      <w:pPr>
        <w:widowControl/>
        <w:spacing w:before="100" w:beforeAutospacing="1" w:after="100" w:afterAutospacing="1" w:line="379" w:lineRule="auto"/>
        <w:jc w:val="left"/>
        <w:rPr>
          <w:rFonts w:ascii="Arial" w:eastAsia="宋体" w:hAnsi="Arial" w:cs="Arial"/>
          <w:color w:val="454545"/>
          <w:kern w:val="0"/>
          <w:sz w:val="18"/>
          <w:szCs w:val="18"/>
        </w:rPr>
      </w:pPr>
      <w:r w:rsidRPr="00F72D9D">
        <w:rPr>
          <w:rFonts w:ascii="Arial" w:eastAsia="宋体" w:hAnsi="Arial" w:cs="Arial"/>
          <w:color w:val="454545"/>
          <w:kern w:val="0"/>
          <w:sz w:val="20"/>
          <w:szCs w:val="20"/>
        </w:rPr>
        <w:t>（三）企业首次申请退还购进设备留抵税额时，可将</w:t>
      </w:r>
      <w:r w:rsidRPr="00F72D9D">
        <w:rPr>
          <w:rFonts w:ascii="Arial" w:eastAsia="宋体" w:hAnsi="Arial" w:cs="Arial"/>
          <w:color w:val="454545"/>
          <w:kern w:val="0"/>
          <w:sz w:val="20"/>
          <w:szCs w:val="20"/>
        </w:rPr>
        <w:t>2009</w:t>
      </w:r>
      <w:r w:rsidRPr="00F72D9D">
        <w:rPr>
          <w:rFonts w:ascii="Arial" w:eastAsia="宋体" w:hAnsi="Arial" w:cs="Arial"/>
          <w:color w:val="454545"/>
          <w:kern w:val="0"/>
          <w:sz w:val="20"/>
          <w:szCs w:val="20"/>
        </w:rPr>
        <w:t>年以来形成的购进设备留抵税额，按照上述规定一次性申请退还。</w:t>
      </w:r>
    </w:p>
    <w:p w:rsidR="00F72D9D" w:rsidRPr="00F72D9D" w:rsidRDefault="00F72D9D" w:rsidP="00F72D9D">
      <w:pPr>
        <w:widowControl/>
        <w:spacing w:before="100" w:beforeAutospacing="1" w:after="100" w:afterAutospacing="1" w:line="379" w:lineRule="auto"/>
        <w:jc w:val="left"/>
        <w:rPr>
          <w:rFonts w:ascii="Arial" w:eastAsia="宋体" w:hAnsi="Arial" w:cs="Arial"/>
          <w:color w:val="454545"/>
          <w:kern w:val="0"/>
          <w:sz w:val="18"/>
          <w:szCs w:val="18"/>
        </w:rPr>
      </w:pPr>
      <w:r w:rsidRPr="00F72D9D">
        <w:rPr>
          <w:rFonts w:ascii="Arial" w:eastAsia="宋体" w:hAnsi="Arial" w:cs="Arial"/>
          <w:color w:val="454545"/>
          <w:kern w:val="0"/>
          <w:sz w:val="20"/>
          <w:szCs w:val="20"/>
        </w:rPr>
        <w:t>四、退还的购进设备留抵税额由中央和地方按照现行增值税分享比例共同负担。</w:t>
      </w:r>
    </w:p>
    <w:p w:rsidR="00F72D9D" w:rsidRPr="00F72D9D" w:rsidRDefault="00F72D9D" w:rsidP="00F72D9D">
      <w:pPr>
        <w:widowControl/>
        <w:spacing w:before="100" w:beforeAutospacing="1" w:after="100" w:afterAutospacing="1" w:line="379" w:lineRule="auto"/>
        <w:jc w:val="left"/>
        <w:rPr>
          <w:rFonts w:ascii="Arial" w:eastAsia="宋体" w:hAnsi="Arial" w:cs="Arial"/>
          <w:color w:val="454545"/>
          <w:kern w:val="0"/>
          <w:sz w:val="18"/>
          <w:szCs w:val="18"/>
        </w:rPr>
      </w:pPr>
      <w:r w:rsidRPr="00F72D9D">
        <w:rPr>
          <w:rFonts w:ascii="Arial" w:eastAsia="宋体" w:hAnsi="Arial" w:cs="Arial"/>
          <w:color w:val="454545"/>
          <w:kern w:val="0"/>
          <w:sz w:val="20"/>
          <w:szCs w:val="20"/>
        </w:rPr>
        <w:t>五、本通知自</w:t>
      </w:r>
      <w:r w:rsidRPr="00F72D9D">
        <w:rPr>
          <w:rFonts w:ascii="Arial" w:eastAsia="宋体" w:hAnsi="Arial" w:cs="Arial"/>
          <w:color w:val="454545"/>
          <w:kern w:val="0"/>
          <w:sz w:val="20"/>
          <w:szCs w:val="20"/>
        </w:rPr>
        <w:t>2011</w:t>
      </w:r>
      <w:r w:rsidRPr="00F72D9D">
        <w:rPr>
          <w:rFonts w:ascii="Arial" w:eastAsia="宋体" w:hAnsi="Arial" w:cs="Arial"/>
          <w:color w:val="454545"/>
          <w:kern w:val="0"/>
          <w:sz w:val="20"/>
          <w:szCs w:val="20"/>
        </w:rPr>
        <w:t>年</w:t>
      </w:r>
      <w:r w:rsidRPr="00F72D9D">
        <w:rPr>
          <w:rFonts w:ascii="Arial" w:eastAsia="宋体" w:hAnsi="Arial" w:cs="Arial"/>
          <w:color w:val="454545"/>
          <w:kern w:val="0"/>
          <w:sz w:val="20"/>
          <w:szCs w:val="20"/>
        </w:rPr>
        <w:t>11</w:t>
      </w:r>
      <w:r w:rsidRPr="00F72D9D">
        <w:rPr>
          <w:rFonts w:ascii="Arial" w:eastAsia="宋体" w:hAnsi="Arial" w:cs="Arial"/>
          <w:color w:val="454545"/>
          <w:kern w:val="0"/>
          <w:sz w:val="20"/>
          <w:szCs w:val="20"/>
        </w:rPr>
        <w:t>月</w:t>
      </w:r>
      <w:r w:rsidRPr="00F72D9D">
        <w:rPr>
          <w:rFonts w:ascii="Arial" w:eastAsia="宋体" w:hAnsi="Arial" w:cs="Arial"/>
          <w:color w:val="454545"/>
          <w:kern w:val="0"/>
          <w:sz w:val="20"/>
          <w:szCs w:val="20"/>
        </w:rPr>
        <w:t>1</w:t>
      </w:r>
      <w:r w:rsidRPr="00F72D9D">
        <w:rPr>
          <w:rFonts w:ascii="Arial" w:eastAsia="宋体" w:hAnsi="Arial" w:cs="Arial"/>
          <w:color w:val="454545"/>
          <w:kern w:val="0"/>
          <w:sz w:val="20"/>
          <w:szCs w:val="20"/>
        </w:rPr>
        <w:t>日起执行。</w:t>
      </w:r>
    </w:p>
    <w:p w:rsidR="00F72D9D" w:rsidRPr="00F72D9D" w:rsidRDefault="00F72D9D" w:rsidP="00F72D9D">
      <w:pPr>
        <w:widowControl/>
        <w:spacing w:before="100" w:beforeAutospacing="1" w:after="100" w:afterAutospacing="1" w:line="379" w:lineRule="auto"/>
        <w:jc w:val="left"/>
        <w:rPr>
          <w:rFonts w:ascii="Arial" w:eastAsia="宋体" w:hAnsi="Arial" w:cs="Arial"/>
          <w:color w:val="454545"/>
          <w:kern w:val="0"/>
          <w:sz w:val="18"/>
          <w:szCs w:val="18"/>
        </w:rPr>
      </w:pPr>
      <w:r w:rsidRPr="00F72D9D">
        <w:rPr>
          <w:rFonts w:ascii="Arial" w:eastAsia="宋体" w:hAnsi="Arial" w:cs="Arial"/>
          <w:color w:val="454545"/>
          <w:kern w:val="0"/>
          <w:sz w:val="20"/>
          <w:szCs w:val="20"/>
        </w:rPr>
        <w:t>附件：国家批准的集成电路重大项目企业名单</w:t>
      </w:r>
    </w:p>
    <w:p w:rsidR="00F72D9D" w:rsidRPr="00F72D9D" w:rsidRDefault="00F72D9D" w:rsidP="00F72D9D">
      <w:pPr>
        <w:widowControl/>
        <w:spacing w:before="100" w:beforeAutospacing="1" w:after="100" w:afterAutospacing="1" w:line="379" w:lineRule="auto"/>
        <w:jc w:val="left"/>
        <w:rPr>
          <w:rFonts w:ascii="Arial" w:eastAsia="宋体" w:hAnsi="Arial" w:cs="Arial"/>
          <w:color w:val="454545"/>
          <w:kern w:val="0"/>
          <w:sz w:val="18"/>
          <w:szCs w:val="18"/>
        </w:rPr>
      </w:pPr>
      <w:r w:rsidRPr="00F72D9D">
        <w:rPr>
          <w:rFonts w:ascii="Arial" w:eastAsia="宋体" w:hAnsi="Arial" w:cs="Arial"/>
          <w:color w:val="454545"/>
          <w:kern w:val="0"/>
          <w:sz w:val="20"/>
          <w:szCs w:val="20"/>
        </w:rPr>
        <w:t>附件</w:t>
      </w:r>
    </w:p>
    <w:p w:rsidR="00F72D9D" w:rsidRPr="00F72D9D" w:rsidRDefault="00F72D9D" w:rsidP="00F72D9D">
      <w:pPr>
        <w:widowControl/>
        <w:spacing w:before="100" w:beforeAutospacing="1" w:after="100" w:afterAutospacing="1" w:line="379" w:lineRule="auto"/>
        <w:jc w:val="center"/>
        <w:rPr>
          <w:rFonts w:ascii="Arial" w:eastAsia="宋体" w:hAnsi="Arial" w:cs="Arial"/>
          <w:color w:val="0000FF"/>
          <w:kern w:val="0"/>
          <w:sz w:val="20"/>
          <w:szCs w:val="20"/>
        </w:rPr>
      </w:pPr>
      <w:r w:rsidRPr="00F72D9D">
        <w:rPr>
          <w:rFonts w:ascii="Arial" w:eastAsia="宋体" w:hAnsi="Arial" w:cs="Arial"/>
          <w:color w:val="0000FF"/>
          <w:kern w:val="0"/>
          <w:sz w:val="20"/>
          <w:szCs w:val="20"/>
        </w:rPr>
        <w:t>国家批准的集成电路重大项目企业名单</w:t>
      </w:r>
    </w:p>
    <w:tbl>
      <w:tblPr>
        <w:tblW w:w="9090" w:type="dxa"/>
        <w:jc w:val="center"/>
        <w:tblLook w:val="04A0" w:firstRow="1" w:lastRow="0" w:firstColumn="1" w:lastColumn="0" w:noHBand="0" w:noVBand="1"/>
      </w:tblPr>
      <w:tblGrid>
        <w:gridCol w:w="822"/>
        <w:gridCol w:w="4392"/>
        <w:gridCol w:w="3876"/>
      </w:tblGrid>
      <w:tr w:rsidR="00F72D9D" w:rsidRPr="00F72D9D">
        <w:trPr>
          <w:trHeight w:val="675"/>
          <w:jc w:val="center"/>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序号</w:t>
            </w:r>
          </w:p>
        </w:tc>
        <w:tc>
          <w:tcPr>
            <w:tcW w:w="2416"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项目企业</w:t>
            </w:r>
          </w:p>
        </w:tc>
        <w:tc>
          <w:tcPr>
            <w:tcW w:w="2132"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所在省市和区县</w:t>
            </w:r>
          </w:p>
        </w:tc>
      </w:tr>
      <w:tr w:rsidR="00F72D9D" w:rsidRPr="00F72D9D">
        <w:trPr>
          <w:trHeight w:val="405"/>
          <w:jc w:val="center"/>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Times New Roman"/>
                <w:color w:val="454545"/>
                <w:kern w:val="0"/>
                <w:sz w:val="18"/>
                <w:szCs w:val="18"/>
              </w:rPr>
              <w:t>1</w:t>
            </w:r>
          </w:p>
        </w:tc>
        <w:tc>
          <w:tcPr>
            <w:tcW w:w="2416"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proofErr w:type="gramStart"/>
            <w:r w:rsidRPr="00F72D9D">
              <w:rPr>
                <w:rFonts w:ascii="Times New Roman" w:eastAsia="宋体" w:hAnsi="Times New Roman" w:cs="宋体" w:hint="eastAsia"/>
                <w:color w:val="454545"/>
                <w:kern w:val="0"/>
                <w:sz w:val="18"/>
                <w:szCs w:val="18"/>
              </w:rPr>
              <w:t>中芯国际</w:t>
            </w:r>
            <w:proofErr w:type="gramEnd"/>
            <w:r w:rsidRPr="00F72D9D">
              <w:rPr>
                <w:rFonts w:ascii="Times New Roman" w:eastAsia="宋体" w:hAnsi="Times New Roman" w:cs="宋体" w:hint="eastAsia"/>
                <w:color w:val="454545"/>
                <w:kern w:val="0"/>
                <w:sz w:val="18"/>
                <w:szCs w:val="18"/>
              </w:rPr>
              <w:t>集成电路制造（北京）有限公司</w:t>
            </w:r>
          </w:p>
        </w:tc>
        <w:tc>
          <w:tcPr>
            <w:tcW w:w="2132"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北京亦庄经济技术开发区</w:t>
            </w:r>
          </w:p>
        </w:tc>
      </w:tr>
      <w:tr w:rsidR="00F72D9D" w:rsidRPr="00F72D9D">
        <w:trPr>
          <w:trHeight w:val="405"/>
          <w:jc w:val="center"/>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Times New Roman"/>
                <w:color w:val="454545"/>
                <w:kern w:val="0"/>
                <w:sz w:val="18"/>
                <w:szCs w:val="18"/>
              </w:rPr>
              <w:t>2</w:t>
            </w:r>
          </w:p>
        </w:tc>
        <w:tc>
          <w:tcPr>
            <w:tcW w:w="2416"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北京</w:t>
            </w:r>
            <w:proofErr w:type="gramStart"/>
            <w:r w:rsidRPr="00F72D9D">
              <w:rPr>
                <w:rFonts w:ascii="Times New Roman" w:eastAsia="宋体" w:hAnsi="Times New Roman" w:cs="宋体" w:hint="eastAsia"/>
                <w:color w:val="454545"/>
                <w:kern w:val="0"/>
                <w:sz w:val="18"/>
                <w:szCs w:val="18"/>
              </w:rPr>
              <w:t>京</w:t>
            </w:r>
            <w:proofErr w:type="gramEnd"/>
            <w:r w:rsidRPr="00F72D9D">
              <w:rPr>
                <w:rFonts w:ascii="Times New Roman" w:eastAsia="宋体" w:hAnsi="Times New Roman" w:cs="宋体" w:hint="eastAsia"/>
                <w:color w:val="454545"/>
                <w:kern w:val="0"/>
                <w:sz w:val="18"/>
                <w:szCs w:val="18"/>
              </w:rPr>
              <w:t>东方显示技术有限公司</w:t>
            </w:r>
          </w:p>
        </w:tc>
        <w:tc>
          <w:tcPr>
            <w:tcW w:w="2132"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北京市经济技术开发区</w:t>
            </w:r>
          </w:p>
        </w:tc>
      </w:tr>
      <w:tr w:rsidR="00F72D9D" w:rsidRPr="00F72D9D">
        <w:trPr>
          <w:trHeight w:val="405"/>
          <w:jc w:val="center"/>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Times New Roman"/>
                <w:color w:val="454545"/>
                <w:kern w:val="0"/>
                <w:sz w:val="18"/>
                <w:szCs w:val="18"/>
              </w:rPr>
              <w:t>3</w:t>
            </w:r>
          </w:p>
        </w:tc>
        <w:tc>
          <w:tcPr>
            <w:tcW w:w="2416"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proofErr w:type="gramStart"/>
            <w:r w:rsidRPr="00F72D9D">
              <w:rPr>
                <w:rFonts w:ascii="Times New Roman" w:eastAsia="宋体" w:hAnsi="Times New Roman" w:cs="宋体" w:hint="eastAsia"/>
                <w:color w:val="454545"/>
                <w:kern w:val="0"/>
                <w:sz w:val="18"/>
                <w:szCs w:val="18"/>
              </w:rPr>
              <w:t>中芯国际</w:t>
            </w:r>
            <w:proofErr w:type="gramEnd"/>
            <w:r w:rsidRPr="00F72D9D">
              <w:rPr>
                <w:rFonts w:ascii="Times New Roman" w:eastAsia="宋体" w:hAnsi="Times New Roman" w:cs="宋体" w:hint="eastAsia"/>
                <w:color w:val="454545"/>
                <w:kern w:val="0"/>
                <w:sz w:val="18"/>
                <w:szCs w:val="18"/>
              </w:rPr>
              <w:t>集成电路制造（天津）有限公司</w:t>
            </w:r>
          </w:p>
        </w:tc>
        <w:tc>
          <w:tcPr>
            <w:tcW w:w="2132"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天津西青经济开发区</w:t>
            </w:r>
          </w:p>
        </w:tc>
      </w:tr>
      <w:tr w:rsidR="00F72D9D" w:rsidRPr="00F72D9D">
        <w:trPr>
          <w:trHeight w:val="405"/>
          <w:jc w:val="center"/>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Times New Roman"/>
                <w:color w:val="454545"/>
                <w:kern w:val="0"/>
                <w:sz w:val="18"/>
                <w:szCs w:val="18"/>
              </w:rPr>
              <w:t>4</w:t>
            </w:r>
          </w:p>
        </w:tc>
        <w:tc>
          <w:tcPr>
            <w:tcW w:w="2416"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飞思卡尔半导体（中国）有限公司</w:t>
            </w:r>
          </w:p>
        </w:tc>
        <w:tc>
          <w:tcPr>
            <w:tcW w:w="2132"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天津经济技术开发区</w:t>
            </w:r>
          </w:p>
        </w:tc>
      </w:tr>
      <w:tr w:rsidR="00F72D9D" w:rsidRPr="00F72D9D">
        <w:trPr>
          <w:trHeight w:val="405"/>
          <w:jc w:val="center"/>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Times New Roman"/>
                <w:color w:val="454545"/>
                <w:kern w:val="0"/>
                <w:sz w:val="18"/>
                <w:szCs w:val="18"/>
              </w:rPr>
              <w:t>5</w:t>
            </w:r>
          </w:p>
        </w:tc>
        <w:tc>
          <w:tcPr>
            <w:tcW w:w="2416"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鄂尔多斯市源盛光电有限责任公司</w:t>
            </w:r>
          </w:p>
        </w:tc>
        <w:tc>
          <w:tcPr>
            <w:tcW w:w="2132"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内蒙古自治区鄂尔多斯市东胜区</w:t>
            </w:r>
          </w:p>
        </w:tc>
      </w:tr>
      <w:tr w:rsidR="00F72D9D" w:rsidRPr="00F72D9D">
        <w:trPr>
          <w:trHeight w:val="405"/>
          <w:jc w:val="center"/>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Times New Roman"/>
                <w:color w:val="454545"/>
                <w:kern w:val="0"/>
                <w:sz w:val="18"/>
                <w:szCs w:val="18"/>
              </w:rPr>
              <w:t>6</w:t>
            </w:r>
          </w:p>
        </w:tc>
        <w:tc>
          <w:tcPr>
            <w:tcW w:w="2416"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英特尔半导体（大连）有限公司</w:t>
            </w:r>
          </w:p>
        </w:tc>
        <w:tc>
          <w:tcPr>
            <w:tcW w:w="2132"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大连经济技术开发区</w:t>
            </w:r>
          </w:p>
        </w:tc>
      </w:tr>
      <w:tr w:rsidR="00F72D9D" w:rsidRPr="00F72D9D">
        <w:trPr>
          <w:trHeight w:val="405"/>
          <w:jc w:val="center"/>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Times New Roman"/>
                <w:color w:val="454545"/>
                <w:kern w:val="0"/>
                <w:sz w:val="18"/>
                <w:szCs w:val="18"/>
              </w:rPr>
              <w:t>7</w:t>
            </w:r>
          </w:p>
        </w:tc>
        <w:tc>
          <w:tcPr>
            <w:tcW w:w="2416"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上海华虹</w:t>
            </w:r>
            <w:r w:rsidRPr="00F72D9D">
              <w:rPr>
                <w:rFonts w:ascii="Times New Roman" w:eastAsia="宋体" w:hAnsi="Times New Roman" w:cs="Times New Roman"/>
                <w:color w:val="454545"/>
                <w:kern w:val="0"/>
                <w:sz w:val="18"/>
                <w:szCs w:val="18"/>
              </w:rPr>
              <w:t>NEC</w:t>
            </w:r>
            <w:r w:rsidRPr="00F72D9D">
              <w:rPr>
                <w:rFonts w:ascii="Times New Roman" w:eastAsia="宋体" w:hAnsi="Times New Roman" w:cs="宋体" w:hint="eastAsia"/>
                <w:color w:val="454545"/>
                <w:kern w:val="0"/>
                <w:sz w:val="18"/>
                <w:szCs w:val="18"/>
              </w:rPr>
              <w:t>电子有限公司</w:t>
            </w:r>
          </w:p>
        </w:tc>
        <w:tc>
          <w:tcPr>
            <w:tcW w:w="2132"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上海市浦东新区</w:t>
            </w:r>
          </w:p>
        </w:tc>
      </w:tr>
      <w:tr w:rsidR="00F72D9D" w:rsidRPr="00F72D9D">
        <w:trPr>
          <w:trHeight w:val="405"/>
          <w:jc w:val="center"/>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Times New Roman"/>
                <w:color w:val="454545"/>
                <w:kern w:val="0"/>
                <w:sz w:val="18"/>
                <w:szCs w:val="18"/>
              </w:rPr>
              <w:t>8</w:t>
            </w:r>
          </w:p>
        </w:tc>
        <w:tc>
          <w:tcPr>
            <w:tcW w:w="2416"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上海华力微电子有限公司</w:t>
            </w:r>
          </w:p>
        </w:tc>
        <w:tc>
          <w:tcPr>
            <w:tcW w:w="2132"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上海市浦东新区</w:t>
            </w:r>
          </w:p>
        </w:tc>
      </w:tr>
      <w:tr w:rsidR="00F72D9D" w:rsidRPr="00F72D9D">
        <w:trPr>
          <w:trHeight w:val="405"/>
          <w:jc w:val="center"/>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Times New Roman"/>
                <w:color w:val="454545"/>
                <w:kern w:val="0"/>
                <w:sz w:val="18"/>
                <w:szCs w:val="18"/>
              </w:rPr>
              <w:t>9</w:t>
            </w:r>
          </w:p>
        </w:tc>
        <w:tc>
          <w:tcPr>
            <w:tcW w:w="2416"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上海集成电路研发中心有限公司</w:t>
            </w:r>
          </w:p>
        </w:tc>
        <w:tc>
          <w:tcPr>
            <w:tcW w:w="2132"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上海市浦东新区</w:t>
            </w:r>
          </w:p>
        </w:tc>
      </w:tr>
      <w:tr w:rsidR="00F72D9D" w:rsidRPr="00F72D9D">
        <w:trPr>
          <w:trHeight w:val="405"/>
          <w:jc w:val="center"/>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Times New Roman"/>
                <w:color w:val="454545"/>
                <w:kern w:val="0"/>
                <w:sz w:val="18"/>
                <w:szCs w:val="18"/>
              </w:rPr>
              <w:t>10</w:t>
            </w:r>
          </w:p>
        </w:tc>
        <w:tc>
          <w:tcPr>
            <w:tcW w:w="2416"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上海先进半导体制造股份有限公司</w:t>
            </w:r>
          </w:p>
        </w:tc>
        <w:tc>
          <w:tcPr>
            <w:tcW w:w="2132"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上海市徐汇区</w:t>
            </w:r>
          </w:p>
        </w:tc>
      </w:tr>
      <w:tr w:rsidR="00F72D9D" w:rsidRPr="00F72D9D">
        <w:trPr>
          <w:trHeight w:val="405"/>
          <w:jc w:val="center"/>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Times New Roman"/>
                <w:color w:val="454545"/>
                <w:kern w:val="0"/>
                <w:sz w:val="18"/>
                <w:szCs w:val="18"/>
              </w:rPr>
              <w:t>11</w:t>
            </w:r>
          </w:p>
        </w:tc>
        <w:tc>
          <w:tcPr>
            <w:tcW w:w="2416"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台积电（中国）有限公司</w:t>
            </w:r>
          </w:p>
        </w:tc>
        <w:tc>
          <w:tcPr>
            <w:tcW w:w="2132"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上海市松江区</w:t>
            </w:r>
          </w:p>
        </w:tc>
      </w:tr>
      <w:tr w:rsidR="00F72D9D" w:rsidRPr="00F72D9D">
        <w:trPr>
          <w:trHeight w:val="405"/>
          <w:jc w:val="center"/>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Times New Roman"/>
                <w:color w:val="454545"/>
                <w:kern w:val="0"/>
                <w:sz w:val="18"/>
                <w:szCs w:val="18"/>
              </w:rPr>
              <w:lastRenderedPageBreak/>
              <w:t>12</w:t>
            </w:r>
          </w:p>
        </w:tc>
        <w:tc>
          <w:tcPr>
            <w:tcW w:w="2416"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proofErr w:type="gramStart"/>
            <w:r w:rsidRPr="00F72D9D">
              <w:rPr>
                <w:rFonts w:ascii="Times New Roman" w:eastAsia="宋体" w:hAnsi="Times New Roman" w:cs="宋体" w:hint="eastAsia"/>
                <w:color w:val="454545"/>
                <w:kern w:val="0"/>
                <w:sz w:val="18"/>
                <w:szCs w:val="18"/>
              </w:rPr>
              <w:t>中芯国际</w:t>
            </w:r>
            <w:proofErr w:type="gramEnd"/>
            <w:r w:rsidRPr="00F72D9D">
              <w:rPr>
                <w:rFonts w:ascii="Times New Roman" w:eastAsia="宋体" w:hAnsi="Times New Roman" w:cs="宋体" w:hint="eastAsia"/>
                <w:color w:val="454545"/>
                <w:kern w:val="0"/>
                <w:sz w:val="18"/>
                <w:szCs w:val="18"/>
              </w:rPr>
              <w:t>集成电路制造（上海）有限公司</w:t>
            </w:r>
          </w:p>
        </w:tc>
        <w:tc>
          <w:tcPr>
            <w:tcW w:w="2132"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上海市浦东新区</w:t>
            </w:r>
          </w:p>
        </w:tc>
      </w:tr>
      <w:tr w:rsidR="00F72D9D" w:rsidRPr="00F72D9D">
        <w:trPr>
          <w:trHeight w:val="405"/>
          <w:jc w:val="center"/>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Times New Roman"/>
                <w:color w:val="454545"/>
                <w:kern w:val="0"/>
                <w:sz w:val="18"/>
                <w:szCs w:val="18"/>
              </w:rPr>
              <w:t>13</w:t>
            </w:r>
          </w:p>
        </w:tc>
        <w:tc>
          <w:tcPr>
            <w:tcW w:w="2416"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上海宏力半导体制造有限公司</w:t>
            </w:r>
          </w:p>
        </w:tc>
        <w:tc>
          <w:tcPr>
            <w:tcW w:w="2132"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上海市浦东新区</w:t>
            </w:r>
          </w:p>
        </w:tc>
      </w:tr>
      <w:tr w:rsidR="00F72D9D" w:rsidRPr="00F72D9D">
        <w:trPr>
          <w:trHeight w:val="405"/>
          <w:jc w:val="center"/>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Times New Roman"/>
                <w:color w:val="454545"/>
                <w:kern w:val="0"/>
                <w:sz w:val="18"/>
                <w:szCs w:val="18"/>
              </w:rPr>
              <w:t>14</w:t>
            </w:r>
          </w:p>
        </w:tc>
        <w:tc>
          <w:tcPr>
            <w:tcW w:w="2416"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日月光集成电路制造（中国）有限公司</w:t>
            </w:r>
          </w:p>
        </w:tc>
        <w:tc>
          <w:tcPr>
            <w:tcW w:w="2132"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上海市浦东新区</w:t>
            </w:r>
          </w:p>
        </w:tc>
      </w:tr>
      <w:tr w:rsidR="00F72D9D" w:rsidRPr="00F72D9D">
        <w:trPr>
          <w:trHeight w:val="405"/>
          <w:jc w:val="center"/>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Times New Roman"/>
                <w:color w:val="454545"/>
                <w:kern w:val="0"/>
                <w:sz w:val="18"/>
                <w:szCs w:val="18"/>
              </w:rPr>
              <w:t>15</w:t>
            </w:r>
          </w:p>
        </w:tc>
        <w:tc>
          <w:tcPr>
            <w:tcW w:w="2416"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南京中电熊猫液晶显示科技有限公司</w:t>
            </w:r>
          </w:p>
        </w:tc>
        <w:tc>
          <w:tcPr>
            <w:tcW w:w="2132"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江苏省南京市栖霞区</w:t>
            </w:r>
          </w:p>
        </w:tc>
      </w:tr>
      <w:tr w:rsidR="00F72D9D" w:rsidRPr="00F72D9D">
        <w:trPr>
          <w:trHeight w:val="405"/>
          <w:jc w:val="center"/>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Times New Roman"/>
                <w:color w:val="454545"/>
                <w:kern w:val="0"/>
                <w:sz w:val="18"/>
                <w:szCs w:val="18"/>
              </w:rPr>
              <w:t>16</w:t>
            </w:r>
          </w:p>
        </w:tc>
        <w:tc>
          <w:tcPr>
            <w:tcW w:w="2416"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proofErr w:type="gramStart"/>
            <w:r w:rsidRPr="00F72D9D">
              <w:rPr>
                <w:rFonts w:ascii="Times New Roman" w:eastAsia="宋体" w:hAnsi="Times New Roman" w:cs="宋体" w:hint="eastAsia"/>
                <w:color w:val="454545"/>
                <w:kern w:val="0"/>
                <w:sz w:val="18"/>
                <w:szCs w:val="18"/>
              </w:rPr>
              <w:t>和舰科技</w:t>
            </w:r>
            <w:proofErr w:type="gramEnd"/>
            <w:r w:rsidRPr="00F72D9D">
              <w:rPr>
                <w:rFonts w:ascii="Times New Roman" w:eastAsia="宋体" w:hAnsi="Times New Roman" w:cs="宋体" w:hint="eastAsia"/>
                <w:color w:val="454545"/>
                <w:kern w:val="0"/>
                <w:sz w:val="18"/>
                <w:szCs w:val="18"/>
              </w:rPr>
              <w:t>（苏州）有限公司</w:t>
            </w:r>
          </w:p>
        </w:tc>
        <w:tc>
          <w:tcPr>
            <w:tcW w:w="2132"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江苏省苏州工业园</w:t>
            </w:r>
          </w:p>
        </w:tc>
      </w:tr>
      <w:tr w:rsidR="00F72D9D" w:rsidRPr="00F72D9D">
        <w:trPr>
          <w:trHeight w:val="405"/>
          <w:jc w:val="center"/>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Times New Roman"/>
                <w:color w:val="454545"/>
                <w:kern w:val="0"/>
                <w:sz w:val="18"/>
                <w:szCs w:val="18"/>
              </w:rPr>
              <w:t>17</w:t>
            </w:r>
          </w:p>
        </w:tc>
        <w:tc>
          <w:tcPr>
            <w:tcW w:w="2416"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无锡</w:t>
            </w:r>
            <w:proofErr w:type="gramStart"/>
            <w:r w:rsidRPr="00F72D9D">
              <w:rPr>
                <w:rFonts w:ascii="Times New Roman" w:eastAsia="宋体" w:hAnsi="Times New Roman" w:cs="宋体" w:hint="eastAsia"/>
                <w:color w:val="454545"/>
                <w:kern w:val="0"/>
                <w:sz w:val="18"/>
                <w:szCs w:val="18"/>
              </w:rPr>
              <w:t>华润上华</w:t>
            </w:r>
            <w:proofErr w:type="gramEnd"/>
            <w:r w:rsidRPr="00F72D9D">
              <w:rPr>
                <w:rFonts w:ascii="Times New Roman" w:eastAsia="宋体" w:hAnsi="Times New Roman" w:cs="宋体" w:hint="eastAsia"/>
                <w:color w:val="454545"/>
                <w:kern w:val="0"/>
                <w:sz w:val="18"/>
                <w:szCs w:val="18"/>
              </w:rPr>
              <w:t>科技有限公司</w:t>
            </w:r>
          </w:p>
        </w:tc>
        <w:tc>
          <w:tcPr>
            <w:tcW w:w="2132"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江苏省无锡国家高新技术产业开发区</w:t>
            </w:r>
          </w:p>
        </w:tc>
      </w:tr>
      <w:tr w:rsidR="00F72D9D" w:rsidRPr="00F72D9D">
        <w:trPr>
          <w:trHeight w:val="405"/>
          <w:jc w:val="center"/>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Times New Roman"/>
                <w:color w:val="454545"/>
                <w:kern w:val="0"/>
                <w:sz w:val="18"/>
                <w:szCs w:val="18"/>
              </w:rPr>
              <w:t>18</w:t>
            </w:r>
          </w:p>
        </w:tc>
        <w:tc>
          <w:tcPr>
            <w:tcW w:w="2416"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海力士半导体（中国）有限公司</w:t>
            </w:r>
          </w:p>
        </w:tc>
        <w:tc>
          <w:tcPr>
            <w:tcW w:w="2132"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江苏省无锡市出口加工区</w:t>
            </w:r>
          </w:p>
        </w:tc>
      </w:tr>
      <w:tr w:rsidR="00F72D9D" w:rsidRPr="00F72D9D">
        <w:trPr>
          <w:trHeight w:val="405"/>
          <w:jc w:val="center"/>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Times New Roman"/>
                <w:color w:val="454545"/>
                <w:kern w:val="0"/>
                <w:sz w:val="18"/>
                <w:szCs w:val="18"/>
              </w:rPr>
              <w:t>19</w:t>
            </w:r>
          </w:p>
        </w:tc>
        <w:tc>
          <w:tcPr>
            <w:tcW w:w="2416"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proofErr w:type="gramStart"/>
            <w:r w:rsidRPr="00F72D9D">
              <w:rPr>
                <w:rFonts w:ascii="Times New Roman" w:eastAsia="宋体" w:hAnsi="Times New Roman" w:cs="宋体" w:hint="eastAsia"/>
                <w:color w:val="454545"/>
                <w:kern w:val="0"/>
                <w:sz w:val="18"/>
                <w:szCs w:val="18"/>
              </w:rPr>
              <w:t>友达光电</w:t>
            </w:r>
            <w:proofErr w:type="gramEnd"/>
            <w:r w:rsidRPr="00F72D9D">
              <w:rPr>
                <w:rFonts w:ascii="Times New Roman" w:eastAsia="宋体" w:hAnsi="Times New Roman" w:cs="宋体" w:hint="eastAsia"/>
                <w:color w:val="454545"/>
                <w:kern w:val="0"/>
                <w:sz w:val="18"/>
                <w:szCs w:val="18"/>
              </w:rPr>
              <w:t>（昆山）有限公司</w:t>
            </w:r>
          </w:p>
        </w:tc>
        <w:tc>
          <w:tcPr>
            <w:tcW w:w="2132"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江苏省昆山经济技术开发区</w:t>
            </w:r>
          </w:p>
        </w:tc>
      </w:tr>
      <w:tr w:rsidR="00F72D9D" w:rsidRPr="00F72D9D">
        <w:trPr>
          <w:trHeight w:val="405"/>
          <w:jc w:val="center"/>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Times New Roman"/>
                <w:color w:val="454545"/>
                <w:kern w:val="0"/>
                <w:sz w:val="18"/>
                <w:szCs w:val="18"/>
              </w:rPr>
              <w:t>20</w:t>
            </w:r>
          </w:p>
        </w:tc>
        <w:tc>
          <w:tcPr>
            <w:tcW w:w="2416"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苏州三星电子液晶显示科技有限公司</w:t>
            </w:r>
          </w:p>
        </w:tc>
        <w:tc>
          <w:tcPr>
            <w:tcW w:w="2132"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江苏省苏州工业园区</w:t>
            </w:r>
          </w:p>
        </w:tc>
      </w:tr>
      <w:tr w:rsidR="00F72D9D" w:rsidRPr="00F72D9D">
        <w:trPr>
          <w:trHeight w:val="405"/>
          <w:jc w:val="center"/>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Times New Roman"/>
                <w:color w:val="454545"/>
                <w:kern w:val="0"/>
                <w:sz w:val="18"/>
                <w:szCs w:val="18"/>
              </w:rPr>
              <w:t>21</w:t>
            </w:r>
          </w:p>
        </w:tc>
        <w:tc>
          <w:tcPr>
            <w:tcW w:w="2416"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智瑞达科技（苏州）有限公司</w:t>
            </w:r>
          </w:p>
        </w:tc>
        <w:tc>
          <w:tcPr>
            <w:tcW w:w="2132"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江苏省苏州工业园区</w:t>
            </w:r>
          </w:p>
        </w:tc>
      </w:tr>
      <w:tr w:rsidR="00F72D9D" w:rsidRPr="00F72D9D">
        <w:trPr>
          <w:trHeight w:val="405"/>
          <w:jc w:val="center"/>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Times New Roman"/>
                <w:color w:val="454545"/>
                <w:kern w:val="0"/>
                <w:sz w:val="18"/>
                <w:szCs w:val="18"/>
              </w:rPr>
              <w:t>22</w:t>
            </w:r>
          </w:p>
        </w:tc>
        <w:tc>
          <w:tcPr>
            <w:tcW w:w="2416"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苏州日月新半导体有限公司</w:t>
            </w:r>
          </w:p>
        </w:tc>
        <w:tc>
          <w:tcPr>
            <w:tcW w:w="2132"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江苏省苏州工业园区</w:t>
            </w:r>
          </w:p>
        </w:tc>
      </w:tr>
      <w:tr w:rsidR="00F72D9D" w:rsidRPr="00F72D9D">
        <w:trPr>
          <w:trHeight w:val="405"/>
          <w:jc w:val="center"/>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Times New Roman"/>
                <w:color w:val="454545"/>
                <w:kern w:val="0"/>
                <w:sz w:val="18"/>
                <w:szCs w:val="18"/>
              </w:rPr>
              <w:t>23</w:t>
            </w:r>
          </w:p>
        </w:tc>
        <w:tc>
          <w:tcPr>
            <w:tcW w:w="2416"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合肥鑫晟光电科技有限公司</w:t>
            </w:r>
          </w:p>
        </w:tc>
        <w:tc>
          <w:tcPr>
            <w:tcW w:w="2132"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安徽省合肥市新站综合开发试验区</w:t>
            </w:r>
          </w:p>
        </w:tc>
      </w:tr>
      <w:tr w:rsidR="00F72D9D" w:rsidRPr="00F72D9D">
        <w:trPr>
          <w:trHeight w:val="405"/>
          <w:jc w:val="center"/>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Times New Roman"/>
                <w:color w:val="454545"/>
                <w:kern w:val="0"/>
                <w:sz w:val="18"/>
                <w:szCs w:val="18"/>
              </w:rPr>
              <w:t>24</w:t>
            </w:r>
          </w:p>
        </w:tc>
        <w:tc>
          <w:tcPr>
            <w:tcW w:w="2416"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合肥京东方光电科技有限公司</w:t>
            </w:r>
          </w:p>
        </w:tc>
        <w:tc>
          <w:tcPr>
            <w:tcW w:w="2132"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安徽省合肥市新站综合开发试验区</w:t>
            </w:r>
          </w:p>
        </w:tc>
      </w:tr>
      <w:tr w:rsidR="00F72D9D" w:rsidRPr="00F72D9D">
        <w:trPr>
          <w:trHeight w:val="405"/>
          <w:jc w:val="center"/>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Times New Roman"/>
                <w:color w:val="454545"/>
                <w:kern w:val="0"/>
                <w:sz w:val="18"/>
                <w:szCs w:val="18"/>
              </w:rPr>
              <w:t>25</w:t>
            </w:r>
          </w:p>
        </w:tc>
        <w:tc>
          <w:tcPr>
            <w:tcW w:w="2416"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厦门天马微电子有限公司</w:t>
            </w:r>
          </w:p>
        </w:tc>
        <w:tc>
          <w:tcPr>
            <w:tcW w:w="2132"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厦门火炬高新区</w:t>
            </w:r>
          </w:p>
        </w:tc>
      </w:tr>
      <w:tr w:rsidR="00F72D9D" w:rsidRPr="00F72D9D">
        <w:trPr>
          <w:trHeight w:val="405"/>
          <w:jc w:val="center"/>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Times New Roman"/>
                <w:color w:val="454545"/>
                <w:kern w:val="0"/>
                <w:sz w:val="18"/>
                <w:szCs w:val="18"/>
              </w:rPr>
              <w:t>26</w:t>
            </w:r>
          </w:p>
        </w:tc>
        <w:tc>
          <w:tcPr>
            <w:tcW w:w="2416"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武汉新芯集成电路制造有限公司</w:t>
            </w:r>
          </w:p>
        </w:tc>
        <w:tc>
          <w:tcPr>
            <w:tcW w:w="2132"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湖北省武汉市武汉东湖新技术开发区</w:t>
            </w:r>
          </w:p>
        </w:tc>
      </w:tr>
      <w:tr w:rsidR="00F72D9D" w:rsidRPr="00F72D9D">
        <w:trPr>
          <w:trHeight w:val="405"/>
          <w:jc w:val="center"/>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Times New Roman"/>
                <w:color w:val="454545"/>
                <w:kern w:val="0"/>
                <w:sz w:val="18"/>
                <w:szCs w:val="18"/>
              </w:rPr>
              <w:t>27</w:t>
            </w:r>
          </w:p>
        </w:tc>
        <w:tc>
          <w:tcPr>
            <w:tcW w:w="2416"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proofErr w:type="gramStart"/>
            <w:r w:rsidRPr="00F72D9D">
              <w:rPr>
                <w:rFonts w:ascii="Times New Roman" w:eastAsia="宋体" w:hAnsi="Times New Roman" w:cs="宋体" w:hint="eastAsia"/>
                <w:color w:val="454545"/>
                <w:kern w:val="0"/>
                <w:sz w:val="18"/>
                <w:szCs w:val="18"/>
              </w:rPr>
              <w:t>乐金显示</w:t>
            </w:r>
            <w:proofErr w:type="gramEnd"/>
            <w:r w:rsidRPr="00F72D9D">
              <w:rPr>
                <w:rFonts w:ascii="Times New Roman" w:eastAsia="宋体" w:hAnsi="Times New Roman" w:cs="宋体" w:hint="eastAsia"/>
                <w:color w:val="454545"/>
                <w:kern w:val="0"/>
                <w:sz w:val="18"/>
                <w:szCs w:val="18"/>
              </w:rPr>
              <w:t>（中国）有限公司</w:t>
            </w:r>
          </w:p>
        </w:tc>
        <w:tc>
          <w:tcPr>
            <w:tcW w:w="2132"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广东省广州高新技术产业开发区</w:t>
            </w:r>
          </w:p>
        </w:tc>
      </w:tr>
      <w:tr w:rsidR="00F72D9D" w:rsidRPr="00F72D9D">
        <w:trPr>
          <w:trHeight w:val="405"/>
          <w:jc w:val="center"/>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Times New Roman"/>
                <w:color w:val="454545"/>
                <w:kern w:val="0"/>
                <w:sz w:val="18"/>
                <w:szCs w:val="18"/>
              </w:rPr>
              <w:t>28</w:t>
            </w:r>
          </w:p>
        </w:tc>
        <w:tc>
          <w:tcPr>
            <w:tcW w:w="2416"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深圳市华</w:t>
            </w:r>
            <w:proofErr w:type="gramStart"/>
            <w:r w:rsidRPr="00F72D9D">
              <w:rPr>
                <w:rFonts w:ascii="Times New Roman" w:eastAsia="宋体" w:hAnsi="Times New Roman" w:cs="宋体" w:hint="eastAsia"/>
                <w:color w:val="454545"/>
                <w:kern w:val="0"/>
                <w:sz w:val="18"/>
                <w:szCs w:val="18"/>
              </w:rPr>
              <w:t>星光电</w:t>
            </w:r>
            <w:proofErr w:type="gramEnd"/>
            <w:r w:rsidRPr="00F72D9D">
              <w:rPr>
                <w:rFonts w:ascii="Times New Roman" w:eastAsia="宋体" w:hAnsi="Times New Roman" w:cs="宋体" w:hint="eastAsia"/>
                <w:color w:val="454545"/>
                <w:kern w:val="0"/>
                <w:sz w:val="18"/>
                <w:szCs w:val="18"/>
              </w:rPr>
              <w:t>技术有限公司</w:t>
            </w:r>
          </w:p>
        </w:tc>
        <w:tc>
          <w:tcPr>
            <w:tcW w:w="2132"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深圳市光明新区</w:t>
            </w:r>
          </w:p>
        </w:tc>
      </w:tr>
      <w:tr w:rsidR="00F72D9D" w:rsidRPr="00F72D9D">
        <w:trPr>
          <w:trHeight w:val="405"/>
          <w:jc w:val="center"/>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Times New Roman"/>
                <w:color w:val="454545"/>
                <w:kern w:val="0"/>
                <w:sz w:val="18"/>
                <w:szCs w:val="18"/>
              </w:rPr>
              <w:t>29</w:t>
            </w:r>
          </w:p>
        </w:tc>
        <w:tc>
          <w:tcPr>
            <w:tcW w:w="2416"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proofErr w:type="gramStart"/>
            <w:r w:rsidRPr="00F72D9D">
              <w:rPr>
                <w:rFonts w:ascii="Times New Roman" w:eastAsia="宋体" w:hAnsi="Times New Roman" w:cs="宋体" w:hint="eastAsia"/>
                <w:color w:val="454545"/>
                <w:kern w:val="0"/>
                <w:sz w:val="18"/>
                <w:szCs w:val="18"/>
              </w:rPr>
              <w:t>渝德科技</w:t>
            </w:r>
            <w:proofErr w:type="gramEnd"/>
            <w:r w:rsidRPr="00F72D9D">
              <w:rPr>
                <w:rFonts w:ascii="Times New Roman" w:eastAsia="宋体" w:hAnsi="Times New Roman" w:cs="宋体" w:hint="eastAsia"/>
                <w:color w:val="454545"/>
                <w:kern w:val="0"/>
                <w:sz w:val="18"/>
                <w:szCs w:val="18"/>
              </w:rPr>
              <w:t>（重庆）有限公司</w:t>
            </w:r>
          </w:p>
        </w:tc>
        <w:tc>
          <w:tcPr>
            <w:tcW w:w="2132" w:type="pct"/>
            <w:tcBorders>
              <w:top w:val="nil"/>
              <w:left w:val="nil"/>
              <w:bottom w:val="single" w:sz="4" w:space="0" w:color="auto"/>
              <w:right w:val="single" w:sz="4" w:space="0" w:color="auto"/>
            </w:tcBorders>
            <w:shd w:val="clear" w:color="auto" w:fill="auto"/>
            <w:noWrap/>
            <w:vAlign w:val="center"/>
            <w:hideMark/>
          </w:tcPr>
          <w:p w:rsidR="00F72D9D" w:rsidRPr="00F72D9D" w:rsidRDefault="00F72D9D" w:rsidP="00F72D9D">
            <w:pPr>
              <w:widowControl/>
              <w:spacing w:line="379" w:lineRule="auto"/>
              <w:jc w:val="left"/>
              <w:rPr>
                <w:rFonts w:ascii="宋体" w:eastAsia="宋体" w:hAnsi="宋体" w:cs="宋体"/>
                <w:color w:val="454545"/>
                <w:kern w:val="0"/>
                <w:sz w:val="24"/>
                <w:szCs w:val="24"/>
              </w:rPr>
            </w:pPr>
            <w:r w:rsidRPr="00F72D9D">
              <w:rPr>
                <w:rFonts w:ascii="Times New Roman" w:eastAsia="宋体" w:hAnsi="Times New Roman" w:cs="宋体" w:hint="eastAsia"/>
                <w:color w:val="454545"/>
                <w:kern w:val="0"/>
                <w:sz w:val="18"/>
                <w:szCs w:val="18"/>
              </w:rPr>
              <w:t>重庆市沙坪坝区</w:t>
            </w:r>
          </w:p>
        </w:tc>
      </w:tr>
    </w:tbl>
    <w:p w:rsidR="00C92E17" w:rsidRDefault="00C92E17"/>
    <w:sectPr w:rsidR="00C92E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557" w:rsidRDefault="002B4557" w:rsidP="00F72D9D">
      <w:r>
        <w:separator/>
      </w:r>
    </w:p>
  </w:endnote>
  <w:endnote w:type="continuationSeparator" w:id="0">
    <w:p w:rsidR="002B4557" w:rsidRDefault="002B4557" w:rsidP="00F7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557" w:rsidRDefault="002B4557" w:rsidP="00F72D9D">
      <w:r>
        <w:separator/>
      </w:r>
    </w:p>
  </w:footnote>
  <w:footnote w:type="continuationSeparator" w:id="0">
    <w:p w:rsidR="002B4557" w:rsidRDefault="002B4557" w:rsidP="00F72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33D"/>
    <w:rsid w:val="002B4557"/>
    <w:rsid w:val="00C0433D"/>
    <w:rsid w:val="00C92E17"/>
    <w:rsid w:val="00F72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2D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2D9D"/>
    <w:rPr>
      <w:sz w:val="18"/>
      <w:szCs w:val="18"/>
    </w:rPr>
  </w:style>
  <w:style w:type="paragraph" w:styleId="a4">
    <w:name w:val="footer"/>
    <w:basedOn w:val="a"/>
    <w:link w:val="Char0"/>
    <w:uiPriority w:val="99"/>
    <w:unhideWhenUsed/>
    <w:rsid w:val="00F72D9D"/>
    <w:pPr>
      <w:tabs>
        <w:tab w:val="center" w:pos="4153"/>
        <w:tab w:val="right" w:pos="8306"/>
      </w:tabs>
      <w:snapToGrid w:val="0"/>
      <w:jc w:val="left"/>
    </w:pPr>
    <w:rPr>
      <w:sz w:val="18"/>
      <w:szCs w:val="18"/>
    </w:rPr>
  </w:style>
  <w:style w:type="character" w:customStyle="1" w:styleId="Char0">
    <w:name w:val="页脚 Char"/>
    <w:basedOn w:val="a0"/>
    <w:link w:val="a4"/>
    <w:uiPriority w:val="99"/>
    <w:rsid w:val="00F72D9D"/>
    <w:rPr>
      <w:sz w:val="18"/>
      <w:szCs w:val="18"/>
    </w:rPr>
  </w:style>
  <w:style w:type="paragraph" w:styleId="a5">
    <w:name w:val="Normal (Web)"/>
    <w:basedOn w:val="a"/>
    <w:uiPriority w:val="99"/>
    <w:semiHidden/>
    <w:unhideWhenUsed/>
    <w:rsid w:val="00F72D9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2D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2D9D"/>
    <w:rPr>
      <w:sz w:val="18"/>
      <w:szCs w:val="18"/>
    </w:rPr>
  </w:style>
  <w:style w:type="paragraph" w:styleId="a4">
    <w:name w:val="footer"/>
    <w:basedOn w:val="a"/>
    <w:link w:val="Char0"/>
    <w:uiPriority w:val="99"/>
    <w:unhideWhenUsed/>
    <w:rsid w:val="00F72D9D"/>
    <w:pPr>
      <w:tabs>
        <w:tab w:val="center" w:pos="4153"/>
        <w:tab w:val="right" w:pos="8306"/>
      </w:tabs>
      <w:snapToGrid w:val="0"/>
      <w:jc w:val="left"/>
    </w:pPr>
    <w:rPr>
      <w:sz w:val="18"/>
      <w:szCs w:val="18"/>
    </w:rPr>
  </w:style>
  <w:style w:type="character" w:customStyle="1" w:styleId="Char0">
    <w:name w:val="页脚 Char"/>
    <w:basedOn w:val="a0"/>
    <w:link w:val="a4"/>
    <w:uiPriority w:val="99"/>
    <w:rsid w:val="00F72D9D"/>
    <w:rPr>
      <w:sz w:val="18"/>
      <w:szCs w:val="18"/>
    </w:rPr>
  </w:style>
  <w:style w:type="paragraph" w:styleId="a5">
    <w:name w:val="Normal (Web)"/>
    <w:basedOn w:val="a"/>
    <w:uiPriority w:val="99"/>
    <w:semiHidden/>
    <w:unhideWhenUsed/>
    <w:rsid w:val="00F72D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83301">
      <w:bodyDiv w:val="1"/>
      <w:marLeft w:val="0"/>
      <w:marRight w:val="0"/>
      <w:marTop w:val="0"/>
      <w:marBottom w:val="0"/>
      <w:divBdr>
        <w:top w:val="none" w:sz="0" w:space="0" w:color="auto"/>
        <w:left w:val="none" w:sz="0" w:space="0" w:color="auto"/>
        <w:bottom w:val="none" w:sz="0" w:space="0" w:color="auto"/>
        <w:right w:val="none" w:sz="0" w:space="0" w:color="auto"/>
      </w:divBdr>
      <w:divsChild>
        <w:div w:id="1038048334">
          <w:marLeft w:val="0"/>
          <w:marRight w:val="0"/>
          <w:marTop w:val="0"/>
          <w:marBottom w:val="0"/>
          <w:divBdr>
            <w:top w:val="none" w:sz="0" w:space="0" w:color="auto"/>
            <w:left w:val="none" w:sz="0" w:space="0" w:color="auto"/>
            <w:bottom w:val="none" w:sz="0" w:space="0" w:color="auto"/>
            <w:right w:val="none" w:sz="0" w:space="0" w:color="auto"/>
          </w:divBdr>
          <w:divsChild>
            <w:div w:id="214124476">
              <w:marLeft w:val="0"/>
              <w:marRight w:val="0"/>
              <w:marTop w:val="0"/>
              <w:marBottom w:val="0"/>
              <w:divBdr>
                <w:top w:val="none" w:sz="0" w:space="0" w:color="auto"/>
                <w:left w:val="none" w:sz="0" w:space="0" w:color="auto"/>
                <w:bottom w:val="none" w:sz="0" w:space="0" w:color="auto"/>
                <w:right w:val="none" w:sz="0" w:space="0" w:color="auto"/>
              </w:divBdr>
              <w:divsChild>
                <w:div w:id="8825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289</Words>
  <Characters>1648</Characters>
  <Application>Microsoft Office Word</Application>
  <DocSecurity>0</DocSecurity>
  <Lines>13</Lines>
  <Paragraphs>3</Paragraphs>
  <ScaleCrop>false</ScaleCrop>
  <Company>微软中国</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2013-07-26T03:07:00Z</dcterms:created>
  <dcterms:modified xsi:type="dcterms:W3CDTF">2013-07-26T03:07:00Z</dcterms:modified>
</cp:coreProperties>
</file>