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400" w:type="pct"/>
        <w:jc w:val="center"/>
        <w:tblCellSpacing w:w="0" w:type="dxa"/>
        <w:tblCellMar>
          <w:left w:w="0" w:type="dxa"/>
          <w:right w:w="0" w:type="dxa"/>
        </w:tblCellMar>
        <w:tblLook w:val="04A0" w:firstRow="1" w:lastRow="0" w:firstColumn="1" w:lastColumn="0" w:noHBand="0" w:noVBand="1"/>
      </w:tblPr>
      <w:tblGrid>
        <w:gridCol w:w="7309"/>
      </w:tblGrid>
      <w:tr w:rsidR="00CA720A" w:rsidRPr="00CA720A">
        <w:trPr>
          <w:tblCellSpacing w:w="0" w:type="dxa"/>
          <w:jc w:val="center"/>
        </w:trPr>
        <w:tc>
          <w:tcPr>
            <w:tcW w:w="0" w:type="auto"/>
            <w:hideMark/>
          </w:tcPr>
          <w:p w:rsidR="00CA720A" w:rsidRPr="00CA720A" w:rsidRDefault="00CA720A" w:rsidP="00CA720A">
            <w:pPr>
              <w:widowControl/>
              <w:spacing w:before="100" w:beforeAutospacing="1" w:after="100" w:afterAutospacing="1" w:line="376" w:lineRule="auto"/>
              <w:jc w:val="center"/>
              <w:rPr>
                <w:rFonts w:ascii="宋体" w:eastAsia="宋体" w:hAnsi="宋体" w:cs="宋体"/>
                <w:kern w:val="0"/>
                <w:sz w:val="24"/>
                <w:szCs w:val="24"/>
              </w:rPr>
            </w:pPr>
            <w:r w:rsidRPr="00CA720A">
              <w:rPr>
                <w:rFonts w:ascii="仿宋_GB2312" w:eastAsia="仿宋_GB2312" w:hAnsi="宋体" w:cs="宋体" w:hint="eastAsia"/>
                <w:b/>
                <w:bCs/>
                <w:kern w:val="0"/>
                <w:sz w:val="32"/>
                <w:szCs w:val="32"/>
              </w:rPr>
              <w:t>财政部、国家税务总局关于应税服务适用</w:t>
            </w:r>
            <w:hyperlink r:id="rId5" w:history="1">
              <w:r w:rsidRPr="00CA720A">
                <w:rPr>
                  <w:rFonts w:ascii="仿宋_GB2312" w:eastAsia="仿宋_GB2312" w:hAnsi="宋体" w:cs="宋体" w:hint="eastAsia"/>
                  <w:b/>
                  <w:bCs/>
                  <w:kern w:val="0"/>
                  <w:sz w:val="18"/>
                  <w:szCs w:val="18"/>
                </w:rPr>
                <w:t>增值税</w:t>
              </w:r>
            </w:hyperlink>
            <w:r w:rsidRPr="00CA720A">
              <w:rPr>
                <w:rFonts w:ascii="仿宋_GB2312" w:eastAsia="仿宋_GB2312" w:hAnsi="宋体" w:cs="宋体" w:hint="eastAsia"/>
                <w:b/>
                <w:bCs/>
                <w:kern w:val="0"/>
                <w:sz w:val="32"/>
                <w:szCs w:val="32"/>
              </w:rPr>
              <w:t>零税率和免税政策的通知</w:t>
            </w:r>
          </w:p>
          <w:p w:rsidR="00CA720A" w:rsidRPr="00CA720A" w:rsidRDefault="00CA720A" w:rsidP="00CA720A">
            <w:pPr>
              <w:widowControl/>
              <w:spacing w:before="100" w:beforeAutospacing="1" w:after="100" w:afterAutospacing="1" w:line="376" w:lineRule="auto"/>
              <w:jc w:val="center"/>
              <w:rPr>
                <w:rFonts w:ascii="宋体" w:eastAsia="宋体" w:hAnsi="宋体" w:cs="宋体"/>
                <w:kern w:val="0"/>
                <w:sz w:val="24"/>
                <w:szCs w:val="24"/>
              </w:rPr>
            </w:pPr>
            <w:bookmarkStart w:id="0" w:name="_GoBack"/>
            <w:r w:rsidRPr="00CA720A">
              <w:rPr>
                <w:rFonts w:ascii="宋体" w:eastAsia="宋体" w:hAnsi="宋体" w:cs="宋体"/>
                <w:b/>
                <w:bCs/>
                <w:kern w:val="0"/>
                <w:sz w:val="24"/>
                <w:szCs w:val="24"/>
              </w:rPr>
              <w:t> </w:t>
            </w:r>
            <w:r w:rsidRPr="00CA720A">
              <w:rPr>
                <w:rFonts w:ascii="仿宋_GB2312" w:eastAsia="仿宋_GB2312" w:hAnsi="宋体" w:cs="宋体" w:hint="eastAsia"/>
                <w:b/>
                <w:bCs/>
                <w:kern w:val="0"/>
                <w:sz w:val="32"/>
                <w:szCs w:val="32"/>
              </w:rPr>
              <w:t>财税[2011]131号</w:t>
            </w:r>
            <w:bookmarkEnd w:id="0"/>
            <w:r w:rsidRPr="00CA720A">
              <w:rPr>
                <w:rFonts w:ascii="宋体" w:eastAsia="宋体" w:hAnsi="宋体" w:cs="宋体"/>
                <w:b/>
                <w:bCs/>
                <w:kern w:val="0"/>
                <w:sz w:val="24"/>
                <w:szCs w:val="24"/>
              </w:rPr>
              <w:t> </w:t>
            </w:r>
          </w:p>
          <w:p w:rsidR="00CA720A" w:rsidRPr="00CA720A" w:rsidRDefault="00CA720A" w:rsidP="00CA720A">
            <w:pPr>
              <w:widowControl/>
              <w:snapToGrid w:val="0"/>
              <w:spacing w:before="100" w:beforeAutospacing="1" w:after="100" w:afterAutospacing="1" w:line="360" w:lineRule="auto"/>
              <w:jc w:val="left"/>
              <w:rPr>
                <w:rFonts w:ascii="宋体" w:eastAsia="宋体" w:hAnsi="宋体" w:cs="宋体"/>
                <w:kern w:val="0"/>
                <w:sz w:val="24"/>
                <w:szCs w:val="24"/>
              </w:rPr>
            </w:pPr>
            <w:r w:rsidRPr="00CA720A">
              <w:rPr>
                <w:rFonts w:ascii="仿宋_GB2312" w:eastAsia="仿宋_GB2312" w:hAnsi="宋体" w:cs="宋体" w:hint="eastAsia"/>
                <w:color w:val="454545"/>
                <w:kern w:val="0"/>
                <w:sz w:val="30"/>
                <w:szCs w:val="30"/>
              </w:rPr>
              <w:t>各省、自治区、直辖市、计划单列市财政厅（局）、国家税务局、地方税务局，新疆生产建设兵团财务局：</w:t>
            </w:r>
            <w:r w:rsidRPr="00CA720A">
              <w:rPr>
                <w:rFonts w:ascii="仿宋_GB2312" w:eastAsia="仿宋_GB2312" w:hAnsi="宋体" w:cs="宋体" w:hint="eastAsia"/>
                <w:color w:val="454545"/>
                <w:kern w:val="0"/>
                <w:sz w:val="30"/>
                <w:szCs w:val="30"/>
              </w:rPr>
              <w:br/>
              <w:t xml:space="preserve">　　根据《财政部 国家税务总局关于印发〈营业税改征</w:t>
            </w:r>
            <w:hyperlink r:id="rId6" w:history="1">
              <w:r w:rsidRPr="00CA720A">
                <w:rPr>
                  <w:rFonts w:ascii="仿宋_GB2312" w:eastAsia="仿宋_GB2312" w:hAnsi="宋体" w:cs="宋体" w:hint="eastAsia"/>
                  <w:color w:val="284C6F"/>
                  <w:kern w:val="0"/>
                  <w:sz w:val="18"/>
                  <w:szCs w:val="18"/>
                </w:rPr>
                <w:t>增值税</w:t>
              </w:r>
            </w:hyperlink>
            <w:r w:rsidRPr="00CA720A">
              <w:rPr>
                <w:rFonts w:ascii="仿宋_GB2312" w:eastAsia="仿宋_GB2312" w:hAnsi="宋体" w:cs="宋体" w:hint="eastAsia"/>
                <w:color w:val="454545"/>
                <w:kern w:val="0"/>
                <w:sz w:val="30"/>
                <w:szCs w:val="30"/>
              </w:rPr>
              <w:t>试点方案〉的通知》（财税[2011]110号）和《财政部国家税务总局关于在上海市开展交通运输业和部分现代服务业营业税改征</w:t>
            </w:r>
            <w:hyperlink r:id="rId7" w:history="1">
              <w:r w:rsidRPr="00CA720A">
                <w:rPr>
                  <w:rFonts w:ascii="仿宋_GB2312" w:eastAsia="仿宋_GB2312" w:hAnsi="宋体" w:cs="宋体" w:hint="eastAsia"/>
                  <w:color w:val="284C6F"/>
                  <w:kern w:val="0"/>
                  <w:sz w:val="18"/>
                  <w:szCs w:val="18"/>
                </w:rPr>
                <w:t>增值税</w:t>
              </w:r>
            </w:hyperlink>
            <w:r w:rsidRPr="00CA720A">
              <w:rPr>
                <w:rFonts w:ascii="仿宋_GB2312" w:eastAsia="仿宋_GB2312" w:hAnsi="宋体" w:cs="宋体" w:hint="eastAsia"/>
                <w:color w:val="454545"/>
                <w:kern w:val="0"/>
                <w:sz w:val="30"/>
                <w:szCs w:val="30"/>
              </w:rPr>
              <w:t>试点的通知》（财税[2011]111号），现将应税服务适用增值税零税率和免税政策的有关事项通知如下：</w:t>
            </w:r>
            <w:r w:rsidRPr="00CA720A">
              <w:rPr>
                <w:rFonts w:ascii="仿宋_GB2312" w:eastAsia="仿宋_GB2312" w:hAnsi="宋体" w:cs="宋体" w:hint="eastAsia"/>
                <w:color w:val="454545"/>
                <w:kern w:val="0"/>
                <w:sz w:val="30"/>
                <w:szCs w:val="30"/>
              </w:rPr>
              <w:br/>
              <w:t xml:space="preserve">　　一、试点地区的单位和个人提供的国际运输服务、向境外单位提供的研发服务和设计服务适用增值税零税率。</w:t>
            </w:r>
            <w:r w:rsidRPr="00CA720A">
              <w:rPr>
                <w:rFonts w:ascii="仿宋_GB2312" w:eastAsia="仿宋_GB2312" w:hAnsi="宋体" w:cs="宋体" w:hint="eastAsia"/>
                <w:color w:val="454545"/>
                <w:kern w:val="0"/>
                <w:sz w:val="30"/>
                <w:szCs w:val="30"/>
              </w:rPr>
              <w:br/>
              <w:t xml:space="preserve">　　（一）国际运输服务，是指：</w:t>
            </w:r>
            <w:r w:rsidRPr="00CA720A">
              <w:rPr>
                <w:rFonts w:ascii="仿宋_GB2312" w:eastAsia="仿宋_GB2312" w:hAnsi="宋体" w:cs="宋体" w:hint="eastAsia"/>
                <w:color w:val="454545"/>
                <w:kern w:val="0"/>
                <w:sz w:val="30"/>
                <w:szCs w:val="30"/>
              </w:rPr>
              <w:br/>
              <w:t xml:space="preserve">　　1.在境内载运旅客或者货物出境；</w:t>
            </w:r>
            <w:r w:rsidRPr="00CA720A">
              <w:rPr>
                <w:rFonts w:ascii="仿宋_GB2312" w:eastAsia="仿宋_GB2312" w:hAnsi="宋体" w:cs="宋体" w:hint="eastAsia"/>
                <w:color w:val="454545"/>
                <w:kern w:val="0"/>
                <w:sz w:val="30"/>
                <w:szCs w:val="30"/>
              </w:rPr>
              <w:br/>
              <w:t xml:space="preserve">　　2.在境外载运旅客或者货物入境；</w:t>
            </w:r>
            <w:r w:rsidRPr="00CA720A">
              <w:rPr>
                <w:rFonts w:ascii="仿宋_GB2312" w:eastAsia="仿宋_GB2312" w:hAnsi="宋体" w:cs="宋体" w:hint="eastAsia"/>
                <w:color w:val="454545"/>
                <w:kern w:val="0"/>
                <w:sz w:val="30"/>
                <w:szCs w:val="30"/>
              </w:rPr>
              <w:br/>
              <w:t xml:space="preserve">　　3.在境外载运旅客或者货物。</w:t>
            </w:r>
          </w:p>
          <w:p w:rsidR="00CA720A" w:rsidRPr="00CA720A" w:rsidRDefault="00CA720A" w:rsidP="00CA720A">
            <w:pPr>
              <w:widowControl/>
              <w:snapToGrid w:val="0"/>
              <w:spacing w:before="100" w:beforeAutospacing="1" w:after="100" w:afterAutospacing="1" w:line="360" w:lineRule="auto"/>
              <w:jc w:val="left"/>
              <w:rPr>
                <w:rFonts w:ascii="宋体" w:eastAsia="宋体" w:hAnsi="宋体" w:cs="宋体"/>
                <w:kern w:val="0"/>
                <w:sz w:val="24"/>
                <w:szCs w:val="24"/>
              </w:rPr>
            </w:pPr>
            <w:r w:rsidRPr="00CA720A">
              <w:rPr>
                <w:rFonts w:ascii="仿宋_GB2312" w:eastAsia="仿宋_GB2312" w:hAnsi="宋体" w:cs="宋体" w:hint="eastAsia"/>
                <w:color w:val="454545"/>
                <w:kern w:val="0"/>
                <w:sz w:val="30"/>
                <w:szCs w:val="30"/>
              </w:rPr>
              <w:t xml:space="preserve">　　（二）试点地区的单位和个人适用增值税零税率，以水路运输方式提供国际运输服务的，应当取得《国际船舶运输经营许可证》；以陆路运输方式提供国际运输服务的，应当取得《道路运输经营许可证》和《国际汽</w:t>
            </w:r>
            <w:r w:rsidRPr="00CA720A">
              <w:rPr>
                <w:rFonts w:ascii="仿宋_GB2312" w:eastAsia="仿宋_GB2312" w:hAnsi="宋体" w:cs="宋体" w:hint="eastAsia"/>
                <w:color w:val="454545"/>
                <w:kern w:val="0"/>
                <w:sz w:val="30"/>
                <w:szCs w:val="30"/>
              </w:rPr>
              <w:lastRenderedPageBreak/>
              <w:t>车运输行车许可证》，且《道路运输经营许可证》的经营范围应当包括“国际运输”；以航空运输方式提供国际运输服务的，应当取得《公共航空运输企业经营许可证》且其经营范围应当包括“国际航空客货</w:t>
            </w:r>
            <w:proofErr w:type="gramStart"/>
            <w:r w:rsidRPr="00CA720A">
              <w:rPr>
                <w:rFonts w:ascii="仿宋_GB2312" w:eastAsia="仿宋_GB2312" w:hAnsi="宋体" w:cs="宋体" w:hint="eastAsia"/>
                <w:color w:val="454545"/>
                <w:kern w:val="0"/>
                <w:sz w:val="30"/>
                <w:szCs w:val="30"/>
              </w:rPr>
              <w:t>邮</w:t>
            </w:r>
            <w:proofErr w:type="gramEnd"/>
            <w:r w:rsidRPr="00CA720A">
              <w:rPr>
                <w:rFonts w:ascii="仿宋_GB2312" w:eastAsia="仿宋_GB2312" w:hAnsi="宋体" w:cs="宋体" w:hint="eastAsia"/>
                <w:color w:val="454545"/>
                <w:kern w:val="0"/>
                <w:sz w:val="30"/>
                <w:szCs w:val="30"/>
              </w:rPr>
              <w:t>运输业务”。</w:t>
            </w:r>
            <w:r w:rsidRPr="00CA720A">
              <w:rPr>
                <w:rFonts w:ascii="仿宋_GB2312" w:eastAsia="仿宋_GB2312" w:hAnsi="宋体" w:cs="宋体" w:hint="eastAsia"/>
                <w:vanish/>
                <w:color w:val="454545"/>
                <w:kern w:val="0"/>
                <w:sz w:val="30"/>
                <w:szCs w:val="30"/>
              </w:rPr>
              <w:t>-</w:t>
            </w:r>
          </w:p>
          <w:p w:rsidR="00CA720A" w:rsidRPr="00CA720A" w:rsidRDefault="00CA720A" w:rsidP="00CA720A">
            <w:pPr>
              <w:widowControl/>
              <w:snapToGrid w:val="0"/>
              <w:spacing w:before="100" w:beforeAutospacing="1" w:after="100" w:afterAutospacing="1" w:line="360" w:lineRule="auto"/>
              <w:jc w:val="left"/>
              <w:rPr>
                <w:rFonts w:ascii="宋体" w:eastAsia="宋体" w:hAnsi="宋体" w:cs="宋体"/>
                <w:kern w:val="0"/>
                <w:sz w:val="24"/>
                <w:szCs w:val="24"/>
              </w:rPr>
            </w:pPr>
            <w:r w:rsidRPr="00CA720A">
              <w:rPr>
                <w:rFonts w:ascii="仿宋_GB2312" w:eastAsia="仿宋_GB2312" w:hAnsi="宋体" w:cs="宋体" w:hint="eastAsia"/>
                <w:color w:val="454545"/>
                <w:kern w:val="0"/>
                <w:sz w:val="30"/>
                <w:szCs w:val="30"/>
              </w:rPr>
              <w:t>（三）向境外单位提供的设计服务，不包括对境内不动产提供的设计服务。</w:t>
            </w:r>
          </w:p>
          <w:p w:rsidR="00CA720A" w:rsidRPr="00CA720A" w:rsidRDefault="00CA720A" w:rsidP="00CA720A">
            <w:pPr>
              <w:widowControl/>
              <w:snapToGrid w:val="0"/>
              <w:spacing w:before="100" w:beforeAutospacing="1" w:after="100" w:afterAutospacing="1" w:line="360" w:lineRule="auto"/>
              <w:jc w:val="left"/>
              <w:rPr>
                <w:rFonts w:ascii="宋体" w:eastAsia="宋体" w:hAnsi="宋体" w:cs="宋体"/>
                <w:kern w:val="0"/>
                <w:sz w:val="24"/>
                <w:szCs w:val="24"/>
              </w:rPr>
            </w:pPr>
            <w:r w:rsidRPr="00CA720A">
              <w:rPr>
                <w:rFonts w:ascii="仿宋_GB2312" w:eastAsia="仿宋_GB2312" w:hAnsi="宋体" w:cs="宋体" w:hint="eastAsia"/>
                <w:color w:val="454545"/>
                <w:kern w:val="0"/>
                <w:sz w:val="30"/>
                <w:szCs w:val="30"/>
              </w:rPr>
              <w:t xml:space="preserve">　　二、试点地区的单位和个人提供适用零税率的应税服务，如果属于适用增值税一般计税方法的，实行免抵退税办法，退税率为其按照《交通运输业和部分现代服务业营业税改征增值税试点实施办法》（财税[2011]111号）第十二条第（一）至（三）项规定适用的增值税税率；如果属于适用简易计税方法的，实行免征增值税办法。</w:t>
            </w:r>
          </w:p>
          <w:p w:rsidR="00CA720A" w:rsidRPr="00CA720A" w:rsidRDefault="00CA720A" w:rsidP="00CA720A">
            <w:pPr>
              <w:widowControl/>
              <w:snapToGrid w:val="0"/>
              <w:spacing w:before="100" w:beforeAutospacing="1" w:after="100" w:afterAutospacing="1" w:line="360" w:lineRule="auto"/>
              <w:jc w:val="left"/>
              <w:rPr>
                <w:rFonts w:ascii="宋体" w:eastAsia="宋体" w:hAnsi="宋体" w:cs="宋体"/>
                <w:kern w:val="0"/>
                <w:sz w:val="24"/>
                <w:szCs w:val="24"/>
              </w:rPr>
            </w:pPr>
            <w:r w:rsidRPr="00CA720A">
              <w:rPr>
                <w:rFonts w:ascii="仿宋_GB2312" w:eastAsia="仿宋_GB2312" w:hAnsi="宋体" w:cs="宋体" w:hint="eastAsia"/>
                <w:color w:val="454545"/>
                <w:kern w:val="0"/>
                <w:sz w:val="30"/>
                <w:szCs w:val="30"/>
              </w:rPr>
              <w:t xml:space="preserve">　　三、试点地区的单位和个人提供适用零税率的应税服务，按月向主管退税的税务机关申报办理增值税免抵退税或免税手续。具体管理办法由国家税务总局商财政部另行制定。</w:t>
            </w:r>
          </w:p>
          <w:p w:rsidR="00CA720A" w:rsidRPr="00CA720A" w:rsidRDefault="00CA720A" w:rsidP="00CA720A">
            <w:pPr>
              <w:widowControl/>
              <w:snapToGrid w:val="0"/>
              <w:spacing w:before="100" w:beforeAutospacing="1" w:after="100" w:afterAutospacing="1" w:line="360" w:lineRule="auto"/>
              <w:jc w:val="left"/>
              <w:rPr>
                <w:rFonts w:ascii="宋体" w:eastAsia="宋体" w:hAnsi="宋体" w:cs="宋体"/>
                <w:kern w:val="0"/>
                <w:sz w:val="24"/>
                <w:szCs w:val="24"/>
              </w:rPr>
            </w:pPr>
            <w:r w:rsidRPr="00CA720A">
              <w:rPr>
                <w:rFonts w:ascii="仿宋_GB2312" w:eastAsia="仿宋_GB2312" w:hAnsi="宋体" w:cs="宋体" w:hint="eastAsia"/>
                <w:color w:val="454545"/>
                <w:kern w:val="0"/>
                <w:sz w:val="30"/>
                <w:szCs w:val="30"/>
              </w:rPr>
              <w:t xml:space="preserve">　　四、试点地区的单位和个人提供的下列应税服务免征增值税，但财政部和国家税务总局规定适用零税率的除外：</w:t>
            </w:r>
            <w:r w:rsidRPr="00CA720A">
              <w:rPr>
                <w:rFonts w:ascii="仿宋_GB2312" w:eastAsia="仿宋_GB2312" w:hAnsi="宋体" w:cs="宋体" w:hint="eastAsia"/>
                <w:color w:val="454545"/>
                <w:kern w:val="0"/>
                <w:sz w:val="30"/>
                <w:szCs w:val="30"/>
              </w:rPr>
              <w:br/>
              <w:t xml:space="preserve">　　（一）工程、矿产资源在境外的工程勘察勘探服务。</w:t>
            </w:r>
            <w:r w:rsidRPr="00CA720A">
              <w:rPr>
                <w:rFonts w:ascii="仿宋_GB2312" w:eastAsia="仿宋_GB2312" w:hAnsi="宋体" w:cs="宋体" w:hint="eastAsia"/>
                <w:color w:val="454545"/>
                <w:kern w:val="0"/>
                <w:sz w:val="30"/>
                <w:szCs w:val="30"/>
              </w:rPr>
              <w:br/>
            </w:r>
            <w:r w:rsidRPr="00CA720A">
              <w:rPr>
                <w:rFonts w:ascii="仿宋_GB2312" w:eastAsia="仿宋_GB2312" w:hAnsi="宋体" w:cs="宋体" w:hint="eastAsia"/>
                <w:color w:val="454545"/>
                <w:kern w:val="0"/>
                <w:sz w:val="30"/>
                <w:szCs w:val="30"/>
              </w:rPr>
              <w:lastRenderedPageBreak/>
              <w:t xml:space="preserve">　　（二）会议展览地点在境外的会议展览服务。</w:t>
            </w:r>
            <w:r w:rsidRPr="00CA720A">
              <w:rPr>
                <w:rFonts w:ascii="仿宋_GB2312" w:eastAsia="仿宋_GB2312" w:hAnsi="宋体" w:cs="宋体" w:hint="eastAsia"/>
                <w:color w:val="454545"/>
                <w:kern w:val="0"/>
                <w:sz w:val="30"/>
                <w:szCs w:val="30"/>
              </w:rPr>
              <w:br/>
              <w:t xml:space="preserve">　　（三）存储地点在境外的仓储服务。</w:t>
            </w:r>
            <w:r w:rsidRPr="00CA720A">
              <w:rPr>
                <w:rFonts w:ascii="仿宋_GB2312" w:eastAsia="仿宋_GB2312" w:hAnsi="宋体" w:cs="宋体" w:hint="eastAsia"/>
                <w:color w:val="454545"/>
                <w:kern w:val="0"/>
                <w:sz w:val="30"/>
                <w:szCs w:val="30"/>
              </w:rPr>
              <w:br/>
              <w:t xml:space="preserve">　　（四）标的物在境外使用的有形动产租赁服务。</w:t>
            </w:r>
            <w:r w:rsidRPr="00CA720A">
              <w:rPr>
                <w:rFonts w:ascii="仿宋_GB2312" w:eastAsia="仿宋_GB2312" w:hAnsi="宋体" w:cs="宋体" w:hint="eastAsia"/>
                <w:color w:val="454545"/>
                <w:kern w:val="0"/>
                <w:sz w:val="30"/>
                <w:szCs w:val="30"/>
              </w:rPr>
              <w:br/>
              <w:t xml:space="preserve">　　（五）符合本通知第一条第（一）项规定但不符合第一条第（二）项规定条件的国际运输服务。</w:t>
            </w:r>
          </w:p>
          <w:p w:rsidR="00CA720A" w:rsidRPr="00CA720A" w:rsidRDefault="00CA720A" w:rsidP="00CA720A">
            <w:pPr>
              <w:widowControl/>
              <w:snapToGrid w:val="0"/>
              <w:spacing w:before="100" w:beforeAutospacing="1" w:after="100" w:afterAutospacing="1" w:line="360" w:lineRule="auto"/>
              <w:jc w:val="left"/>
              <w:rPr>
                <w:rFonts w:ascii="宋体" w:eastAsia="宋体" w:hAnsi="宋体" w:cs="宋体"/>
                <w:kern w:val="0"/>
                <w:sz w:val="24"/>
                <w:szCs w:val="24"/>
              </w:rPr>
            </w:pPr>
            <w:r w:rsidRPr="00CA720A">
              <w:rPr>
                <w:rFonts w:ascii="仿宋_GB2312" w:eastAsia="仿宋_GB2312" w:hAnsi="宋体" w:cs="宋体" w:hint="eastAsia"/>
                <w:color w:val="454545"/>
                <w:kern w:val="0"/>
                <w:sz w:val="30"/>
                <w:szCs w:val="30"/>
              </w:rPr>
              <w:t xml:space="preserve">　　（六）向境外单位提供的下列应税服务：</w:t>
            </w:r>
            <w:r w:rsidRPr="00CA720A">
              <w:rPr>
                <w:rFonts w:ascii="仿宋_GB2312" w:eastAsia="仿宋_GB2312" w:hAnsi="宋体" w:cs="宋体" w:hint="eastAsia"/>
                <w:color w:val="454545"/>
                <w:kern w:val="0"/>
                <w:sz w:val="30"/>
                <w:szCs w:val="30"/>
              </w:rPr>
              <w:br/>
              <w:t xml:space="preserve">　　1.技术转让服务、技术咨询服务、合同能源管理服务、软件服务、电路设计及测试服务、信息系统服务、业务流程管理服务、商标著作权转让服务、知识产权服务、物流辅助服务（仓储服务除外）、认证服务、</w:t>
            </w:r>
            <w:proofErr w:type="gramStart"/>
            <w:r w:rsidRPr="00CA720A">
              <w:rPr>
                <w:rFonts w:ascii="仿宋_GB2312" w:eastAsia="仿宋_GB2312" w:hAnsi="宋体" w:cs="宋体" w:hint="eastAsia"/>
                <w:color w:val="454545"/>
                <w:kern w:val="0"/>
                <w:sz w:val="30"/>
                <w:szCs w:val="30"/>
              </w:rPr>
              <w:t>鉴证</w:t>
            </w:r>
            <w:proofErr w:type="gramEnd"/>
            <w:r w:rsidRPr="00CA720A">
              <w:rPr>
                <w:rFonts w:ascii="仿宋_GB2312" w:eastAsia="仿宋_GB2312" w:hAnsi="宋体" w:cs="宋体" w:hint="eastAsia"/>
                <w:color w:val="454545"/>
                <w:kern w:val="0"/>
                <w:sz w:val="30"/>
                <w:szCs w:val="30"/>
              </w:rPr>
              <w:t>服务、咨询服务。但不包括：合同标的物在境内的合同能源管理服务，对境内货物或不动产的认证服务、</w:t>
            </w:r>
            <w:proofErr w:type="gramStart"/>
            <w:r w:rsidRPr="00CA720A">
              <w:rPr>
                <w:rFonts w:ascii="仿宋_GB2312" w:eastAsia="仿宋_GB2312" w:hAnsi="宋体" w:cs="宋体" w:hint="eastAsia"/>
                <w:color w:val="454545"/>
                <w:kern w:val="0"/>
                <w:sz w:val="30"/>
                <w:szCs w:val="30"/>
              </w:rPr>
              <w:t>鉴证</w:t>
            </w:r>
            <w:proofErr w:type="gramEnd"/>
            <w:r w:rsidRPr="00CA720A">
              <w:rPr>
                <w:rFonts w:ascii="仿宋_GB2312" w:eastAsia="仿宋_GB2312" w:hAnsi="宋体" w:cs="宋体" w:hint="eastAsia"/>
                <w:color w:val="454545"/>
                <w:kern w:val="0"/>
                <w:sz w:val="30"/>
                <w:szCs w:val="30"/>
              </w:rPr>
              <w:t>服务和咨询服务。</w:t>
            </w:r>
            <w:r w:rsidRPr="00CA720A">
              <w:rPr>
                <w:rFonts w:ascii="仿宋_GB2312" w:eastAsia="仿宋_GB2312" w:hAnsi="宋体" w:cs="宋体" w:hint="eastAsia"/>
                <w:color w:val="454545"/>
                <w:kern w:val="0"/>
                <w:sz w:val="30"/>
                <w:szCs w:val="30"/>
              </w:rPr>
              <w:br/>
              <w:t xml:space="preserve">　　2.广告投放地在境外的广告服务。</w:t>
            </w:r>
          </w:p>
          <w:p w:rsidR="00CA720A" w:rsidRPr="00CA720A" w:rsidRDefault="00CA720A" w:rsidP="00CA720A">
            <w:pPr>
              <w:widowControl/>
              <w:snapToGrid w:val="0"/>
              <w:spacing w:before="100" w:beforeAutospacing="1" w:after="100" w:afterAutospacing="1" w:line="360" w:lineRule="auto"/>
              <w:jc w:val="left"/>
              <w:rPr>
                <w:rFonts w:ascii="宋体" w:eastAsia="宋体" w:hAnsi="宋体" w:cs="宋体"/>
                <w:kern w:val="0"/>
                <w:sz w:val="24"/>
                <w:szCs w:val="24"/>
              </w:rPr>
            </w:pPr>
            <w:r w:rsidRPr="00CA720A">
              <w:rPr>
                <w:rFonts w:ascii="仿宋_GB2312" w:eastAsia="仿宋_GB2312" w:hAnsi="宋体" w:cs="宋体" w:hint="eastAsia"/>
                <w:color w:val="454545"/>
                <w:kern w:val="0"/>
                <w:sz w:val="30"/>
                <w:szCs w:val="30"/>
              </w:rPr>
              <w:t xml:space="preserve">　　五、本通知自2012年1月1日起执行。</w:t>
            </w:r>
          </w:p>
        </w:tc>
      </w:tr>
    </w:tbl>
    <w:p w:rsidR="00CA720A" w:rsidRPr="00CA720A" w:rsidRDefault="00CA720A" w:rsidP="00CA720A">
      <w:pPr>
        <w:widowControl/>
        <w:jc w:val="left"/>
        <w:rPr>
          <w:rFonts w:ascii="宋体" w:eastAsia="宋体" w:hAnsi="宋体" w:cs="宋体"/>
          <w:vanish/>
          <w:kern w:val="0"/>
          <w:sz w:val="24"/>
          <w:szCs w:val="24"/>
        </w:rPr>
      </w:pPr>
    </w:p>
    <w:tbl>
      <w:tblPr>
        <w:tblW w:w="4400" w:type="pct"/>
        <w:jc w:val="center"/>
        <w:tblCellSpacing w:w="0" w:type="dxa"/>
        <w:tblCellMar>
          <w:left w:w="0" w:type="dxa"/>
          <w:right w:w="0" w:type="dxa"/>
        </w:tblCellMar>
        <w:tblLook w:val="04A0" w:firstRow="1" w:lastRow="0" w:firstColumn="1" w:lastColumn="0" w:noHBand="0" w:noVBand="1"/>
      </w:tblPr>
      <w:tblGrid>
        <w:gridCol w:w="7309"/>
      </w:tblGrid>
      <w:tr w:rsidR="00CA720A" w:rsidRPr="00CA720A">
        <w:trPr>
          <w:trHeight w:val="120"/>
          <w:tblCellSpacing w:w="0" w:type="dxa"/>
          <w:jc w:val="center"/>
        </w:trPr>
        <w:tc>
          <w:tcPr>
            <w:tcW w:w="0" w:type="auto"/>
            <w:vAlign w:val="center"/>
            <w:hideMark/>
          </w:tcPr>
          <w:p w:rsidR="00CA720A" w:rsidRPr="00CA720A" w:rsidRDefault="00CA720A" w:rsidP="00CA720A">
            <w:pPr>
              <w:widowControl/>
              <w:jc w:val="left"/>
              <w:rPr>
                <w:rFonts w:ascii="宋体" w:eastAsia="宋体" w:hAnsi="宋体" w:cs="宋体"/>
                <w:kern w:val="0"/>
                <w:sz w:val="12"/>
                <w:szCs w:val="24"/>
              </w:rPr>
            </w:pPr>
          </w:p>
        </w:tc>
      </w:tr>
      <w:tr w:rsidR="00CA720A" w:rsidRPr="00CA720A">
        <w:trPr>
          <w:tblCellSpacing w:w="0" w:type="dxa"/>
          <w:jc w:val="center"/>
        </w:trPr>
        <w:tc>
          <w:tcPr>
            <w:tcW w:w="0" w:type="auto"/>
            <w:vAlign w:val="bottom"/>
            <w:hideMark/>
          </w:tcPr>
          <w:p w:rsidR="00CA720A" w:rsidRPr="00CA720A" w:rsidRDefault="00CA720A" w:rsidP="00CA720A">
            <w:pPr>
              <w:widowControl/>
              <w:jc w:val="left"/>
              <w:rPr>
                <w:rFonts w:ascii="宋体" w:eastAsia="宋体" w:hAnsi="宋体" w:cs="宋体"/>
                <w:kern w:val="0"/>
                <w:sz w:val="24"/>
                <w:szCs w:val="24"/>
              </w:rPr>
            </w:pPr>
          </w:p>
        </w:tc>
      </w:tr>
    </w:tbl>
    <w:p w:rsidR="00CA720A" w:rsidRPr="00CA720A" w:rsidRDefault="00CA720A" w:rsidP="00CA720A">
      <w:pPr>
        <w:widowControl/>
        <w:jc w:val="left"/>
        <w:rPr>
          <w:rFonts w:ascii="宋体" w:eastAsia="宋体" w:hAnsi="宋体" w:cs="宋体"/>
          <w:vanish/>
          <w:kern w:val="0"/>
          <w:sz w:val="24"/>
          <w:szCs w:val="24"/>
        </w:rPr>
      </w:pPr>
    </w:p>
    <w:p w:rsidR="009254B7" w:rsidRDefault="009254B7">
      <w:pPr>
        <w:rPr>
          <w:rFonts w:hint="eastAsia"/>
        </w:rPr>
      </w:pPr>
    </w:p>
    <w:sectPr w:rsidR="009254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6E"/>
    <w:rsid w:val="00022E6E"/>
    <w:rsid w:val="009254B7"/>
    <w:rsid w:val="00CA7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720A"/>
    <w:rPr>
      <w:strike w:val="0"/>
      <w:dstrike w:val="0"/>
      <w:color w:val="606060"/>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720A"/>
    <w:rPr>
      <w:strike w:val="0"/>
      <w:dstrike w:val="0"/>
      <w:color w:val="60606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ui5.cn/article/search_0a/$D4$F6$D6$B5$CB$B0_1_0_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ui5.cn/article/search_0a/$D4$F6$D6$B5$CB$B0_1_0_1.html" TargetMode="External"/><Relationship Id="rId5" Type="http://schemas.openxmlformats.org/officeDocument/2006/relationships/hyperlink" Target="http://www.shui5.cn/article/search_0a/$D4$F6$D6$B5$CB$B0_1_0_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221</Words>
  <Characters>1265</Characters>
  <Application>Microsoft Office Word</Application>
  <DocSecurity>0</DocSecurity>
  <Lines>10</Lines>
  <Paragraphs>2</Paragraphs>
  <ScaleCrop>false</ScaleCrop>
  <Company>微软中国</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2013-08-15T09:01:00Z</dcterms:created>
  <dcterms:modified xsi:type="dcterms:W3CDTF">2013-08-15T09:01:00Z</dcterms:modified>
</cp:coreProperties>
</file>