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7791"/>
        <w:gridCol w:w="100"/>
      </w:tblGrid>
      <w:tr w:rsidR="00277934" w:rsidRPr="00277934">
        <w:trPr>
          <w:trHeight w:val="330"/>
          <w:tblCellSpacing w:w="0" w:type="dxa"/>
          <w:jc w:val="center"/>
        </w:trPr>
        <w:tc>
          <w:tcPr>
            <w:tcW w:w="0" w:type="auto"/>
            <w:gridSpan w:val="2"/>
            <w:vAlign w:val="center"/>
            <w:hideMark/>
          </w:tcPr>
          <w:p w:rsidR="00277934" w:rsidRPr="00277934" w:rsidRDefault="00277934" w:rsidP="00277934">
            <w:pPr>
              <w:widowControl/>
              <w:spacing w:line="300" w:lineRule="atLeast"/>
              <w:jc w:val="center"/>
              <w:rPr>
                <w:rFonts w:ascii="ˎ̥" w:eastAsia="宋体" w:hAnsi="ˎ̥" w:cs="宋体"/>
                <w:b/>
                <w:bCs/>
                <w:color w:val="074DA2"/>
                <w:kern w:val="0"/>
                <w:sz w:val="24"/>
                <w:szCs w:val="24"/>
              </w:rPr>
            </w:pPr>
            <w:r w:rsidRPr="00277934">
              <w:rPr>
                <w:rFonts w:ascii="ˎ̥" w:eastAsia="宋体" w:hAnsi="ˎ̥" w:cs="宋体"/>
                <w:b/>
                <w:bCs/>
                <w:color w:val="074DA2"/>
                <w:kern w:val="0"/>
                <w:sz w:val="24"/>
                <w:szCs w:val="24"/>
              </w:rPr>
              <w:t>财政部、国家税务总局关于中国东方航空公司执行总机构试点纳税人增值税计算缴纳暂行办法的通知</w:t>
            </w:r>
          </w:p>
        </w:tc>
      </w:tr>
      <w:tr w:rsidR="00277934" w:rsidRPr="00277934">
        <w:trPr>
          <w:tblCellSpacing w:w="0" w:type="dxa"/>
          <w:jc w:val="center"/>
        </w:trPr>
        <w:tc>
          <w:tcPr>
            <w:tcW w:w="0" w:type="auto"/>
            <w:gridSpan w:val="2"/>
            <w:vAlign w:val="center"/>
            <w:hideMark/>
          </w:tcPr>
          <w:p w:rsidR="00277934" w:rsidRPr="00277934" w:rsidRDefault="00277934" w:rsidP="00277934">
            <w:pPr>
              <w:widowControl/>
              <w:spacing w:line="420" w:lineRule="atLeast"/>
              <w:jc w:val="center"/>
              <w:rPr>
                <w:rFonts w:ascii="ˎ̥" w:eastAsia="宋体" w:hAnsi="ˎ̥" w:cs="宋体"/>
                <w:color w:val="333333"/>
                <w:kern w:val="0"/>
                <w:sz w:val="18"/>
                <w:szCs w:val="18"/>
              </w:rPr>
            </w:pPr>
            <w:r w:rsidRPr="00277934">
              <w:rPr>
                <w:rFonts w:ascii="ˎ̥" w:eastAsia="宋体" w:hAnsi="ˎ̥" w:cs="宋体"/>
                <w:color w:val="333333"/>
                <w:kern w:val="0"/>
                <w:sz w:val="18"/>
                <w:szCs w:val="18"/>
              </w:rPr>
              <w:t>文号：财税</w:t>
            </w:r>
            <w:r w:rsidRPr="00277934">
              <w:rPr>
                <w:rFonts w:ascii="ˎ̥" w:eastAsia="宋体" w:hAnsi="ˎ̥" w:cs="宋体"/>
                <w:color w:val="333333"/>
                <w:kern w:val="0"/>
                <w:sz w:val="18"/>
                <w:szCs w:val="18"/>
              </w:rPr>
              <w:t>[2011]132</w:t>
            </w:r>
            <w:r w:rsidRPr="00277934">
              <w:rPr>
                <w:rFonts w:ascii="ˎ̥" w:eastAsia="宋体" w:hAnsi="ˎ̥" w:cs="宋体"/>
                <w:color w:val="333333"/>
                <w:kern w:val="0"/>
                <w:sz w:val="18"/>
                <w:szCs w:val="18"/>
              </w:rPr>
              <w:t>号</w:t>
            </w:r>
            <w:r w:rsidRPr="00277934">
              <w:rPr>
                <w:rFonts w:ascii="ˎ̥" w:eastAsia="宋体" w:hAnsi="ˎ̥" w:cs="宋体"/>
                <w:color w:val="333333"/>
                <w:kern w:val="0"/>
                <w:sz w:val="18"/>
                <w:szCs w:val="18"/>
              </w:rPr>
              <w:t xml:space="preserve"> </w:t>
            </w:r>
            <w:r w:rsidRPr="00277934">
              <w:rPr>
                <w:rFonts w:ascii="ˎ̥" w:eastAsia="宋体" w:hAnsi="ˎ̥" w:cs="宋体"/>
                <w:color w:val="333333"/>
                <w:kern w:val="0"/>
                <w:sz w:val="18"/>
                <w:szCs w:val="18"/>
              </w:rPr>
              <w:t>发文日期：</w:t>
            </w:r>
            <w:r w:rsidRPr="00277934">
              <w:rPr>
                <w:rFonts w:ascii="ˎ̥" w:eastAsia="宋体" w:hAnsi="ˎ̥" w:cs="宋体"/>
                <w:color w:val="333333"/>
                <w:kern w:val="0"/>
                <w:sz w:val="18"/>
                <w:szCs w:val="18"/>
              </w:rPr>
              <w:t>2011-12-30</w:t>
            </w:r>
            <w:r w:rsidRPr="00277934">
              <w:rPr>
                <w:rFonts w:ascii="ˎ̥" w:eastAsia="宋体" w:hAnsi="ˎ̥" w:cs="宋体"/>
                <w:color w:val="333333"/>
                <w:kern w:val="0"/>
                <w:sz w:val="18"/>
                <w:szCs w:val="18"/>
              </w:rPr>
              <w:t xml:space="preserve">　阅读次数：</w:t>
            </w:r>
            <w:r w:rsidRPr="00277934">
              <w:rPr>
                <w:rFonts w:ascii="ˎ̥" w:eastAsia="宋体" w:hAnsi="ˎ̥" w:cs="宋体"/>
                <w:color w:val="333333"/>
                <w:kern w:val="0"/>
                <w:sz w:val="18"/>
                <w:szCs w:val="18"/>
              </w:rPr>
              <w:t>1289</w:t>
            </w:r>
            <w:r w:rsidRPr="00277934">
              <w:rPr>
                <w:rFonts w:ascii="ˎ̥" w:eastAsia="宋体" w:hAnsi="ˎ̥" w:cs="宋体"/>
                <w:color w:val="333333"/>
                <w:kern w:val="0"/>
                <w:sz w:val="18"/>
                <w:szCs w:val="18"/>
              </w:rPr>
              <w:t>次</w:t>
            </w:r>
          </w:p>
        </w:tc>
      </w:tr>
      <w:tr w:rsidR="00277934" w:rsidRPr="00277934">
        <w:trPr>
          <w:tblCellSpacing w:w="0" w:type="dxa"/>
          <w:jc w:val="center"/>
        </w:trPr>
        <w:tc>
          <w:tcPr>
            <w:tcW w:w="0" w:type="auto"/>
            <w:vAlign w:val="center"/>
            <w:hideMark/>
          </w:tcPr>
          <w:p w:rsidR="00277934" w:rsidRPr="00277934" w:rsidRDefault="00277934" w:rsidP="00277934">
            <w:pPr>
              <w:widowControl/>
              <w:spacing w:line="420" w:lineRule="atLeast"/>
              <w:jc w:val="right"/>
              <w:rPr>
                <w:rFonts w:ascii="ˎ̥" w:eastAsia="宋体" w:hAnsi="ˎ̥" w:cs="宋体"/>
                <w:color w:val="333333"/>
                <w:kern w:val="0"/>
                <w:sz w:val="18"/>
                <w:szCs w:val="18"/>
              </w:rPr>
            </w:pPr>
            <w:r w:rsidRPr="00277934">
              <w:rPr>
                <w:rFonts w:ascii="ˎ̥" w:eastAsia="宋体" w:hAnsi="ˎ̥" w:cs="宋体"/>
                <w:color w:val="333333"/>
                <w:kern w:val="0"/>
                <w:sz w:val="18"/>
                <w:szCs w:val="18"/>
              </w:rPr>
              <w:t>发文单位：财政部、国家税务总局　编辑：</w:t>
            </w:r>
            <w:r w:rsidRPr="00277934">
              <w:rPr>
                <w:rFonts w:ascii="ˎ̥" w:eastAsia="宋体" w:hAnsi="ˎ̥" w:cs="宋体"/>
                <w:color w:val="333333"/>
                <w:kern w:val="0"/>
                <w:sz w:val="18"/>
                <w:szCs w:val="18"/>
              </w:rPr>
              <w:t>Cherry</w:t>
            </w:r>
          </w:p>
        </w:tc>
        <w:tc>
          <w:tcPr>
            <w:tcW w:w="0" w:type="auto"/>
            <w:vAlign w:val="center"/>
            <w:hideMark/>
          </w:tcPr>
          <w:p w:rsidR="00277934" w:rsidRPr="00277934" w:rsidRDefault="00277934" w:rsidP="00277934">
            <w:pPr>
              <w:widowControl/>
              <w:spacing w:line="420" w:lineRule="atLeast"/>
              <w:jc w:val="right"/>
              <w:rPr>
                <w:rFonts w:ascii="ˎ̥" w:eastAsia="宋体" w:hAnsi="ˎ̥" w:cs="宋体"/>
                <w:color w:val="333333"/>
                <w:kern w:val="0"/>
                <w:sz w:val="18"/>
                <w:szCs w:val="18"/>
              </w:rPr>
            </w:pPr>
            <w:r w:rsidRPr="00277934">
              <w:rPr>
                <w:rFonts w:ascii="ˎ̥" w:eastAsia="宋体" w:hAnsi="ˎ̥" w:cs="宋体"/>
                <w:color w:val="333333"/>
                <w:kern w:val="0"/>
                <w:sz w:val="18"/>
                <w:szCs w:val="18"/>
              </w:rPr>
              <w:t> </w:t>
            </w:r>
          </w:p>
        </w:tc>
      </w:tr>
      <w:tr w:rsidR="00277934" w:rsidRPr="00277934">
        <w:trPr>
          <w:trHeight w:val="300"/>
          <w:tblCellSpacing w:w="0" w:type="dxa"/>
          <w:jc w:val="center"/>
        </w:trPr>
        <w:tc>
          <w:tcPr>
            <w:tcW w:w="0" w:type="auto"/>
            <w:gridSpan w:val="2"/>
            <w:shd w:val="clear" w:color="auto" w:fill="F1F1F1"/>
            <w:vAlign w:val="center"/>
            <w:hideMark/>
          </w:tcPr>
          <w:p w:rsidR="00277934" w:rsidRPr="00277934" w:rsidRDefault="00277934" w:rsidP="00277934">
            <w:pPr>
              <w:widowControl/>
              <w:spacing w:line="270" w:lineRule="atLeast"/>
              <w:jc w:val="right"/>
              <w:rPr>
                <w:rFonts w:ascii="ˎ̥" w:eastAsia="宋体" w:hAnsi="ˎ̥" w:cs="宋体"/>
                <w:color w:val="3B3B3B"/>
                <w:kern w:val="0"/>
                <w:szCs w:val="21"/>
              </w:rPr>
            </w:pPr>
          </w:p>
        </w:tc>
      </w:tr>
    </w:tbl>
    <w:p w:rsidR="00277934" w:rsidRPr="00277934" w:rsidRDefault="00277934" w:rsidP="00277934">
      <w:pPr>
        <w:widowControl/>
        <w:spacing w:line="270" w:lineRule="atLeast"/>
        <w:jc w:val="left"/>
        <w:rPr>
          <w:rFonts w:ascii="ˎ̥" w:eastAsia="宋体" w:hAnsi="ˎ̥" w:cs="宋体" w:hint="eastAsia"/>
          <w:vanish/>
          <w:color w:val="3B3B3B"/>
          <w:kern w:val="0"/>
          <w:szCs w:val="21"/>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77934" w:rsidRPr="00277934">
        <w:trPr>
          <w:tblCellSpacing w:w="0" w:type="dxa"/>
          <w:jc w:val="center"/>
        </w:trPr>
        <w:tc>
          <w:tcPr>
            <w:tcW w:w="0" w:type="auto"/>
            <w:vAlign w:val="center"/>
            <w:hideMark/>
          </w:tcPr>
          <w:p w:rsidR="00277934" w:rsidRPr="00277934" w:rsidRDefault="00277934" w:rsidP="00277934">
            <w:pPr>
              <w:widowControl/>
              <w:spacing w:line="420" w:lineRule="atLeast"/>
              <w:jc w:val="left"/>
              <w:rPr>
                <w:rFonts w:ascii="ˎ̥" w:eastAsia="宋体" w:hAnsi="ˎ̥" w:cs="宋体"/>
                <w:color w:val="000000"/>
                <w:kern w:val="0"/>
                <w:sz w:val="24"/>
                <w:szCs w:val="24"/>
              </w:rPr>
            </w:pPr>
            <w:hyperlink r:id="rId5" w:tgtFrame="_blank" w:history="1"/>
            <w:r w:rsidRPr="00277934">
              <w:rPr>
                <w:rFonts w:ascii="ˎ̥" w:eastAsia="宋体" w:hAnsi="ˎ̥" w:cs="宋体"/>
                <w:color w:val="000000"/>
                <w:kern w:val="0"/>
                <w:sz w:val="24"/>
                <w:szCs w:val="24"/>
              </w:rPr>
              <w:t>各省、自治区、直辖市、计划单列市财政厅（局）、国家税务局、地方税务局，新疆生产建设兵团财务局：</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为解决中国东方航空股份有限公司（以下简称中国东方航空公司）营业税改征增值税试点期间总机构缴纳增值税问题，根据</w:t>
            </w:r>
            <w:r w:rsidRPr="00277934">
              <w:rPr>
                <w:rFonts w:ascii="ˎ̥" w:eastAsia="宋体" w:hAnsi="ˎ̥" w:cs="宋体"/>
                <w:color w:val="000000"/>
                <w:kern w:val="0"/>
                <w:sz w:val="24"/>
                <w:szCs w:val="24"/>
              </w:rPr>
              <w:t xml:space="preserve"> </w:t>
            </w:r>
            <w:r w:rsidRPr="00277934">
              <w:rPr>
                <w:rFonts w:ascii="ˎ̥" w:eastAsia="宋体" w:hAnsi="ˎ̥" w:cs="宋体"/>
                <w:color w:val="000000"/>
                <w:kern w:val="0"/>
                <w:sz w:val="24"/>
                <w:szCs w:val="24"/>
              </w:rPr>
              <w:t>《交通运输业和部分现代服务业营业税改征增值税试点</w:t>
            </w:r>
            <w:bookmarkStart w:id="0" w:name="_GoBack"/>
            <w:bookmarkEnd w:id="0"/>
            <w:r w:rsidRPr="00277934">
              <w:rPr>
                <w:rFonts w:ascii="ˎ̥" w:eastAsia="宋体" w:hAnsi="ˎ̥" w:cs="宋体"/>
                <w:color w:val="000000"/>
                <w:kern w:val="0"/>
                <w:sz w:val="24"/>
                <w:szCs w:val="24"/>
              </w:rPr>
              <w:t>实施办法》（</w:t>
            </w:r>
            <w:hyperlink r:id="rId6" w:history="1">
              <w:r w:rsidRPr="00277934">
                <w:rPr>
                  <w:rFonts w:ascii="ˎ̥" w:eastAsia="宋体" w:hAnsi="ˎ̥" w:cs="宋体"/>
                  <w:color w:val="0000FF"/>
                  <w:kern w:val="0"/>
                  <w:sz w:val="24"/>
                  <w:szCs w:val="24"/>
                  <w:u w:val="single"/>
                </w:rPr>
                <w:t>财税</w:t>
              </w:r>
              <w:r w:rsidRPr="00277934">
                <w:rPr>
                  <w:rFonts w:ascii="ˎ̥" w:eastAsia="宋体" w:hAnsi="ˎ̥" w:cs="宋体"/>
                  <w:color w:val="0000FF"/>
                  <w:kern w:val="0"/>
                  <w:sz w:val="24"/>
                  <w:szCs w:val="24"/>
                  <w:u w:val="single"/>
                </w:rPr>
                <w:t>[2011]111</w:t>
              </w:r>
              <w:r w:rsidRPr="00277934">
                <w:rPr>
                  <w:rFonts w:ascii="ˎ̥" w:eastAsia="宋体" w:hAnsi="ˎ̥" w:cs="宋体"/>
                  <w:color w:val="0000FF"/>
                  <w:kern w:val="0"/>
                  <w:sz w:val="24"/>
                  <w:szCs w:val="24"/>
                  <w:u w:val="single"/>
                </w:rPr>
                <w:t>号</w:t>
              </w:r>
            </w:hyperlink>
            <w:r w:rsidRPr="00277934">
              <w:rPr>
                <w:rFonts w:ascii="ˎ̥" w:eastAsia="宋体" w:hAnsi="ˎ̥" w:cs="宋体"/>
                <w:color w:val="000000"/>
                <w:kern w:val="0"/>
                <w:sz w:val="24"/>
                <w:szCs w:val="24"/>
              </w:rPr>
              <w:t>）和现行增值税有关规定，我们制定了《总机构试点纳税人增值税计算缴纳暂行办法》（附件</w:t>
            </w:r>
            <w:r w:rsidRPr="00277934">
              <w:rPr>
                <w:rFonts w:ascii="ˎ̥" w:eastAsia="宋体" w:hAnsi="ˎ̥" w:cs="宋体"/>
                <w:color w:val="000000"/>
                <w:kern w:val="0"/>
                <w:sz w:val="24"/>
                <w:szCs w:val="24"/>
              </w:rPr>
              <w:t>1</w:t>
            </w:r>
            <w:r w:rsidRPr="00277934">
              <w:rPr>
                <w:rFonts w:ascii="ˎ̥" w:eastAsia="宋体" w:hAnsi="ˎ̥" w:cs="宋体"/>
                <w:color w:val="000000"/>
                <w:kern w:val="0"/>
                <w:sz w:val="24"/>
                <w:szCs w:val="24"/>
              </w:rPr>
              <w:t>）。自</w:t>
            </w:r>
            <w:r w:rsidRPr="00277934">
              <w:rPr>
                <w:rFonts w:ascii="ˎ̥" w:eastAsia="宋体" w:hAnsi="ˎ̥" w:cs="宋体"/>
                <w:color w:val="000000"/>
                <w:kern w:val="0"/>
                <w:sz w:val="24"/>
                <w:szCs w:val="24"/>
              </w:rPr>
              <w:t>2012</w:t>
            </w:r>
            <w:r w:rsidRPr="00277934">
              <w:rPr>
                <w:rFonts w:ascii="ˎ̥" w:eastAsia="宋体" w:hAnsi="ˎ̥" w:cs="宋体"/>
                <w:color w:val="000000"/>
                <w:kern w:val="0"/>
                <w:sz w:val="24"/>
                <w:szCs w:val="24"/>
              </w:rPr>
              <w:t>年</w:t>
            </w:r>
            <w:r w:rsidRPr="00277934">
              <w:rPr>
                <w:rFonts w:ascii="ˎ̥" w:eastAsia="宋体" w:hAnsi="ˎ̥" w:cs="宋体"/>
                <w:color w:val="000000"/>
                <w:kern w:val="0"/>
                <w:sz w:val="24"/>
                <w:szCs w:val="24"/>
              </w:rPr>
              <w:t>1</w:t>
            </w:r>
            <w:r w:rsidRPr="00277934">
              <w:rPr>
                <w:rFonts w:ascii="ˎ̥" w:eastAsia="宋体" w:hAnsi="ˎ̥" w:cs="宋体"/>
                <w:color w:val="000000"/>
                <w:kern w:val="0"/>
                <w:sz w:val="24"/>
                <w:szCs w:val="24"/>
              </w:rPr>
              <w:t>月</w:t>
            </w:r>
            <w:r w:rsidRPr="00277934">
              <w:rPr>
                <w:rFonts w:ascii="ˎ̥" w:eastAsia="宋体" w:hAnsi="ˎ̥" w:cs="宋体"/>
                <w:color w:val="000000"/>
                <w:kern w:val="0"/>
                <w:sz w:val="24"/>
                <w:szCs w:val="24"/>
              </w:rPr>
              <w:t>1</w:t>
            </w:r>
            <w:r w:rsidRPr="00277934">
              <w:rPr>
                <w:rFonts w:ascii="ˎ̥" w:eastAsia="宋体" w:hAnsi="ˎ̥" w:cs="宋体"/>
                <w:color w:val="000000"/>
                <w:kern w:val="0"/>
                <w:sz w:val="24"/>
                <w:szCs w:val="24"/>
              </w:rPr>
              <w:t>日起，中国东方航空公司及其分支机构（具体名单见附件</w:t>
            </w:r>
            <w:r w:rsidRPr="00277934">
              <w:rPr>
                <w:rFonts w:ascii="ˎ̥" w:eastAsia="宋体" w:hAnsi="ˎ̥" w:cs="宋体"/>
                <w:color w:val="000000"/>
                <w:kern w:val="0"/>
                <w:sz w:val="24"/>
                <w:szCs w:val="24"/>
              </w:rPr>
              <w:t>2</w:t>
            </w:r>
            <w:r w:rsidRPr="00277934">
              <w:rPr>
                <w:rFonts w:ascii="ˎ̥" w:eastAsia="宋体" w:hAnsi="ˎ̥" w:cs="宋体"/>
                <w:color w:val="000000"/>
                <w:kern w:val="0"/>
                <w:sz w:val="24"/>
                <w:szCs w:val="24"/>
              </w:rPr>
              <w:t>）应当按照上述办法计算缴纳增值税。</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附件</w:t>
            </w:r>
            <w:r w:rsidRPr="00277934">
              <w:rPr>
                <w:rFonts w:ascii="ˎ̥" w:eastAsia="宋体" w:hAnsi="ˎ̥" w:cs="宋体"/>
                <w:color w:val="000000"/>
                <w:kern w:val="0"/>
                <w:sz w:val="24"/>
                <w:szCs w:val="24"/>
              </w:rPr>
              <w:t>1</w:t>
            </w:r>
            <w:r w:rsidRPr="00277934">
              <w:rPr>
                <w:rFonts w:ascii="ˎ̥" w:eastAsia="宋体" w:hAnsi="ˎ̥" w:cs="宋体"/>
                <w:color w:val="000000"/>
                <w:kern w:val="0"/>
                <w:sz w:val="24"/>
                <w:szCs w:val="24"/>
              </w:rPr>
              <w:t>：</w:t>
            </w:r>
          </w:p>
          <w:p w:rsidR="00277934" w:rsidRPr="00277934" w:rsidRDefault="00277934" w:rsidP="00277934">
            <w:pPr>
              <w:widowControl/>
              <w:spacing w:after="75" w:line="420" w:lineRule="atLeast"/>
              <w:jc w:val="center"/>
              <w:rPr>
                <w:rFonts w:ascii="ˎ̥" w:eastAsia="宋体" w:hAnsi="ˎ̥" w:cs="宋体"/>
                <w:color w:val="000000"/>
                <w:kern w:val="0"/>
                <w:sz w:val="24"/>
                <w:szCs w:val="24"/>
              </w:rPr>
            </w:pPr>
            <w:r w:rsidRPr="00277934">
              <w:rPr>
                <w:rFonts w:ascii="ˎ̥" w:eastAsia="宋体" w:hAnsi="ˎ̥" w:cs="宋体"/>
                <w:b/>
                <w:bCs/>
                <w:color w:val="000000"/>
                <w:kern w:val="0"/>
                <w:sz w:val="24"/>
                <w:szCs w:val="24"/>
              </w:rPr>
              <w:t>总机构试点纳税人增值税计算缴纳暂行办法</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一、为妥善解决营业税改征增值税试点期间总机构试点纳税人缴纳增值税问题，根据《交通运输业和部分现代服务业营业税改征增值税试点实施办法》（财税</w:t>
            </w:r>
            <w:r w:rsidRPr="00277934">
              <w:rPr>
                <w:rFonts w:ascii="ˎ̥" w:eastAsia="宋体" w:hAnsi="ˎ̥" w:cs="宋体"/>
                <w:color w:val="000000"/>
                <w:kern w:val="0"/>
                <w:sz w:val="24"/>
                <w:szCs w:val="24"/>
              </w:rPr>
              <w:t>[2011]111</w:t>
            </w:r>
            <w:r w:rsidRPr="00277934">
              <w:rPr>
                <w:rFonts w:ascii="ˎ̥" w:eastAsia="宋体" w:hAnsi="ˎ̥" w:cs="宋体"/>
                <w:color w:val="000000"/>
                <w:kern w:val="0"/>
                <w:sz w:val="24"/>
                <w:szCs w:val="24"/>
              </w:rPr>
              <w:t>号），以下简称《试点实施办法》）和现行增值税有关规定，制定本办法。</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二、财政部和国家税务总局规定的总机构（以下称总机构）及其分支机构（以下称分支机构）适用本办法。</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三、总机构应当汇总计算总机构及其分支机构的应交增值税，抵减分支机构已缴纳的增值税和营业税税款后，解缴入库。分支机构按现行规定计算缴纳增值税和营业税，并按规定归集汇总已缴纳的增值税和营业税数据，传递给总机构。</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四、总机构的汇总应征增值税销售额由以下两部分组成：</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（一）总机构及其分支机构的应征增值税销售额；</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（二）非试点地区分支机构发生《试点实施办法》中《应税服务范围注释》所列业务的销售额。计算公式如下：</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销售额＝应税服务的营业额</w:t>
            </w:r>
            <w:r w:rsidRPr="00277934">
              <w:rPr>
                <w:rFonts w:ascii="ˎ̥" w:eastAsia="宋体" w:hAnsi="ˎ̥" w:cs="宋体"/>
                <w:color w:val="000000"/>
                <w:kern w:val="0"/>
                <w:sz w:val="24"/>
                <w:szCs w:val="24"/>
              </w:rPr>
              <w:t>÷</w:t>
            </w:r>
            <w:r w:rsidRPr="00277934">
              <w:rPr>
                <w:rFonts w:ascii="ˎ̥" w:eastAsia="宋体" w:hAnsi="ˎ̥" w:cs="宋体"/>
                <w:color w:val="000000"/>
                <w:kern w:val="0"/>
                <w:sz w:val="24"/>
                <w:szCs w:val="24"/>
              </w:rPr>
              <w:t>（</w:t>
            </w:r>
            <w:r w:rsidRPr="00277934">
              <w:rPr>
                <w:rFonts w:ascii="ˎ̥" w:eastAsia="宋体" w:hAnsi="ˎ̥" w:cs="宋体"/>
                <w:color w:val="000000"/>
                <w:kern w:val="0"/>
                <w:sz w:val="24"/>
                <w:szCs w:val="24"/>
              </w:rPr>
              <w:t>1</w:t>
            </w:r>
            <w:r w:rsidRPr="00277934">
              <w:rPr>
                <w:rFonts w:ascii="ˎ̥" w:eastAsia="宋体" w:hAnsi="ˎ̥" w:cs="宋体"/>
                <w:color w:val="000000"/>
                <w:kern w:val="0"/>
                <w:sz w:val="24"/>
                <w:szCs w:val="24"/>
              </w:rPr>
              <w:t>＋增值税适用税率）</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应税服务的营业额，是指非试点地区分支机构发生《应税服务范围注释》所列业务的营业额。增值税适用税率，是指《试点实施办法》规定的增值税</w:t>
            </w:r>
            <w:r w:rsidRPr="00277934">
              <w:rPr>
                <w:rFonts w:ascii="ˎ̥" w:eastAsia="宋体" w:hAnsi="ˎ̥" w:cs="宋体"/>
                <w:color w:val="000000"/>
                <w:kern w:val="0"/>
                <w:sz w:val="24"/>
                <w:szCs w:val="24"/>
              </w:rPr>
              <w:lastRenderedPageBreak/>
              <w:t>适用税率。</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五、总机构的销项税额，按照本办法第四条规定的汇总应征增值税销售额和《试点实施办法》规定的增值税适用税率计算。</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六、总机构的进项税额，是指总机构及其分支机构购进货物或者接受加工修理修配劳务和应税服务，支付或者负担的增值税税额，用于销售货物、提供加工修理修配劳务和发生《应税服务范围注释》所列业务之外的进项税额不得抵扣。</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非试点地区分支机构发生《应税服务范围注释》所列业务而购进货物或者接受加工修理修配劳务和应税服务，应当索取增值税扣税凭证。</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七、非试点地区分支机构销售货物、提供加工修理修配劳务，按照现行规定申报缴纳增值税；发生《应税服务范围注释》所列业务，按照现行规定申报缴纳营业税。</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分支机构当期已缴纳的增值税税款和营业税税款，允许在总机构当期增值税应纳税额中抵减，抵减不完的，可以结转下期继续抵减。</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八、总机构及其分支机构，一律由其机构所在地主管国税机关认定为增值税一般纳税人。</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九、发生《应税服务范围注释》所列业务的非试点地区分支机构，应按月将当月的营业税应税营业额和已缴纳的营业税税款归集汇总，填写《营业税传递单》（附</w:t>
            </w:r>
            <w:r w:rsidRPr="00277934">
              <w:rPr>
                <w:rFonts w:ascii="ˎ̥" w:eastAsia="宋体" w:hAnsi="ˎ̥" w:cs="宋体"/>
                <w:color w:val="000000"/>
                <w:kern w:val="0"/>
                <w:sz w:val="24"/>
                <w:szCs w:val="24"/>
              </w:rPr>
              <w:t>1</w:t>
            </w:r>
            <w:r w:rsidRPr="00277934">
              <w:rPr>
                <w:rFonts w:ascii="ˎ̥" w:eastAsia="宋体" w:hAnsi="ˎ̥" w:cs="宋体"/>
                <w:color w:val="000000"/>
                <w:kern w:val="0"/>
                <w:sz w:val="24"/>
                <w:szCs w:val="24"/>
              </w:rPr>
              <w:t>），报送主管地税机关签章确认后，于次月</w:t>
            </w:r>
            <w:r w:rsidRPr="00277934">
              <w:rPr>
                <w:rFonts w:ascii="ˎ̥" w:eastAsia="宋体" w:hAnsi="ˎ̥" w:cs="宋体"/>
                <w:color w:val="000000"/>
                <w:kern w:val="0"/>
                <w:sz w:val="24"/>
                <w:szCs w:val="24"/>
              </w:rPr>
              <w:t>10</w:t>
            </w:r>
            <w:r w:rsidRPr="00277934">
              <w:rPr>
                <w:rFonts w:ascii="ˎ̥" w:eastAsia="宋体" w:hAnsi="ˎ̥" w:cs="宋体"/>
                <w:color w:val="000000"/>
                <w:kern w:val="0"/>
                <w:sz w:val="24"/>
                <w:szCs w:val="24"/>
              </w:rPr>
              <w:t>日前传递给总机构。</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销售货物、提供加工修理修配劳务和应税服务的分支机构，应按月将当月应征增值税销售额、进项税额和已缴纳的增值税税款归集汇总，填写《增值税传递单》（附</w:t>
            </w:r>
            <w:r w:rsidRPr="00277934">
              <w:rPr>
                <w:rFonts w:ascii="ˎ̥" w:eastAsia="宋体" w:hAnsi="ˎ̥" w:cs="宋体"/>
                <w:color w:val="000000"/>
                <w:kern w:val="0"/>
                <w:sz w:val="24"/>
                <w:szCs w:val="24"/>
              </w:rPr>
              <w:t>2</w:t>
            </w:r>
            <w:r w:rsidRPr="00277934">
              <w:rPr>
                <w:rFonts w:ascii="ˎ̥" w:eastAsia="宋体" w:hAnsi="ˎ̥" w:cs="宋体"/>
                <w:color w:val="000000"/>
                <w:kern w:val="0"/>
                <w:sz w:val="24"/>
                <w:szCs w:val="24"/>
              </w:rPr>
              <w:t>），报送主管国税机关签章确认后，于次月</w:t>
            </w:r>
            <w:r w:rsidRPr="00277934">
              <w:rPr>
                <w:rFonts w:ascii="ˎ̥" w:eastAsia="宋体" w:hAnsi="ˎ̥" w:cs="宋体"/>
                <w:color w:val="000000"/>
                <w:kern w:val="0"/>
                <w:sz w:val="24"/>
                <w:szCs w:val="24"/>
              </w:rPr>
              <w:t>10</w:t>
            </w:r>
            <w:r w:rsidRPr="00277934">
              <w:rPr>
                <w:rFonts w:ascii="ˎ̥" w:eastAsia="宋体" w:hAnsi="ˎ̥" w:cs="宋体"/>
                <w:color w:val="000000"/>
                <w:kern w:val="0"/>
                <w:sz w:val="24"/>
                <w:szCs w:val="24"/>
              </w:rPr>
              <w:t>日前传递给总机构。</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十、总机构的增值税纳税期限为一个季度。</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总机构应当在开具增值税专用发票的次月</w:t>
            </w:r>
            <w:r w:rsidRPr="00277934">
              <w:rPr>
                <w:rFonts w:ascii="ˎ̥" w:eastAsia="宋体" w:hAnsi="ˎ̥" w:cs="宋体"/>
                <w:color w:val="000000"/>
                <w:kern w:val="0"/>
                <w:sz w:val="24"/>
                <w:szCs w:val="24"/>
              </w:rPr>
              <w:t>15</w:t>
            </w:r>
            <w:r w:rsidRPr="00277934">
              <w:rPr>
                <w:rFonts w:ascii="ˎ̥" w:eastAsia="宋体" w:hAnsi="ˎ̥" w:cs="宋体"/>
                <w:color w:val="000000"/>
                <w:kern w:val="0"/>
                <w:sz w:val="24"/>
                <w:szCs w:val="24"/>
              </w:rPr>
              <w:t>日前向主管税务机关报税。</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总机构的增值税进项税额，应当在认证当季终了后的申报期内申报抵扣。</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十一、总机构及其分支机构取得的增值税扣税凭证，应当在规定期限内到主管国税机关办理认证或者申请稽核比对。</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lastRenderedPageBreak/>
              <w:t xml:space="preserve">　　十二、总机构其他增值税涉税事项，按照《财政部、国家税务总局关于在上海市开展交通运输业和部分现代服务业营业税改征增值税试点的通知》（财税</w:t>
            </w:r>
            <w:r w:rsidRPr="00277934">
              <w:rPr>
                <w:rFonts w:ascii="ˎ̥" w:eastAsia="宋体" w:hAnsi="ˎ̥" w:cs="宋体"/>
                <w:color w:val="000000"/>
                <w:kern w:val="0"/>
                <w:sz w:val="24"/>
                <w:szCs w:val="24"/>
              </w:rPr>
              <w:t>[2011]111</w:t>
            </w:r>
            <w:r w:rsidRPr="00277934">
              <w:rPr>
                <w:rFonts w:ascii="ˎ̥" w:eastAsia="宋体" w:hAnsi="ˎ̥" w:cs="宋体"/>
                <w:color w:val="000000"/>
                <w:kern w:val="0"/>
                <w:sz w:val="24"/>
                <w:szCs w:val="24"/>
              </w:rPr>
              <w:t>号）及其他增值税有关政策执行。</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附：</w:t>
            </w:r>
            <w:r w:rsidRPr="00277934">
              <w:rPr>
                <w:rFonts w:ascii="ˎ̥" w:eastAsia="宋体" w:hAnsi="ˎ̥" w:cs="宋体"/>
                <w:color w:val="000000"/>
                <w:kern w:val="0"/>
                <w:sz w:val="24"/>
                <w:szCs w:val="24"/>
              </w:rPr>
              <w:t>1.</w:t>
            </w:r>
            <w:r w:rsidRPr="00277934">
              <w:rPr>
                <w:rFonts w:ascii="ˎ̥" w:eastAsia="宋体" w:hAnsi="ˎ̥" w:cs="宋体"/>
                <w:color w:val="000000"/>
                <w:kern w:val="0"/>
                <w:sz w:val="24"/>
                <w:szCs w:val="24"/>
              </w:rPr>
              <w:t>营业税传递单</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w:t>
            </w:r>
            <w:r w:rsidRPr="00277934">
              <w:rPr>
                <w:rFonts w:ascii="ˎ̥" w:eastAsia="宋体" w:hAnsi="ˎ̥" w:cs="宋体"/>
                <w:color w:val="000000"/>
                <w:kern w:val="0"/>
                <w:sz w:val="24"/>
                <w:szCs w:val="24"/>
              </w:rPr>
              <w:t>    2.</w:t>
            </w:r>
            <w:r w:rsidRPr="00277934">
              <w:rPr>
                <w:rFonts w:ascii="ˎ̥" w:eastAsia="宋体" w:hAnsi="ˎ̥" w:cs="宋体"/>
                <w:color w:val="000000"/>
                <w:kern w:val="0"/>
                <w:sz w:val="24"/>
                <w:szCs w:val="24"/>
              </w:rPr>
              <w:t>增值税传递单</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附件</w:t>
            </w:r>
            <w:r w:rsidRPr="00277934">
              <w:rPr>
                <w:rFonts w:ascii="ˎ̥" w:eastAsia="宋体" w:hAnsi="ˎ̥" w:cs="宋体"/>
                <w:color w:val="000000"/>
                <w:kern w:val="0"/>
                <w:sz w:val="24"/>
                <w:szCs w:val="24"/>
              </w:rPr>
              <w:t>2</w:t>
            </w:r>
            <w:r w:rsidRPr="00277934">
              <w:rPr>
                <w:rFonts w:ascii="ˎ̥" w:eastAsia="宋体" w:hAnsi="ˎ̥" w:cs="宋体"/>
                <w:color w:val="000000"/>
                <w:kern w:val="0"/>
                <w:sz w:val="24"/>
                <w:szCs w:val="24"/>
              </w:rPr>
              <w:t>：中国东方航空公司总机构及其分支机构名单</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一、总机构</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二、分支机构</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中国东方航空股份有限公司安徽分公司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中国东方航空股份有限公司山东分公司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中国东方航空股份有限公司江西分公司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中国东方航空股份有限公司浙江分公司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中国东方航空股份有限公司山西分公司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中国东方航空股份有限公司河北分公司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中国东方航空股份有限公司西北分公司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中国东方航空股份有限公司甘肃分公司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中国东方航空股份有限公司北京分公司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中国东方航空股份有限公司四川分公司</w:t>
            </w:r>
            <w:r w:rsidRPr="00277934">
              <w:rPr>
                <w:rFonts w:ascii="ˎ̥" w:eastAsia="宋体" w:hAnsi="ˎ̥" w:cs="宋体"/>
                <w:color w:val="000000"/>
                <w:kern w:val="0"/>
                <w:sz w:val="24"/>
                <w:szCs w:val="24"/>
              </w:rPr>
              <w:t xml:space="preserve"> </w:t>
            </w:r>
          </w:p>
          <w:p w:rsidR="00277934" w:rsidRPr="00277934" w:rsidRDefault="00277934" w:rsidP="00277934">
            <w:pPr>
              <w:widowControl/>
              <w:spacing w:after="75" w:line="420" w:lineRule="atLeast"/>
              <w:jc w:val="left"/>
              <w:rPr>
                <w:rFonts w:ascii="ˎ̥" w:eastAsia="宋体" w:hAnsi="ˎ̥" w:cs="宋体"/>
                <w:color w:val="000000"/>
                <w:kern w:val="0"/>
                <w:sz w:val="24"/>
                <w:szCs w:val="24"/>
              </w:rPr>
            </w:pPr>
            <w:r w:rsidRPr="00277934">
              <w:rPr>
                <w:rFonts w:ascii="ˎ̥" w:eastAsia="宋体" w:hAnsi="ˎ̥" w:cs="宋体"/>
                <w:color w:val="000000"/>
                <w:kern w:val="0"/>
                <w:sz w:val="24"/>
                <w:szCs w:val="24"/>
              </w:rPr>
              <w:t xml:space="preserve">　　上海航空有限公司</w:t>
            </w:r>
          </w:p>
        </w:tc>
      </w:tr>
    </w:tbl>
    <w:p w:rsidR="0074089C" w:rsidRDefault="0074089C">
      <w:pPr>
        <w:rPr>
          <w:rFonts w:hint="eastAsia"/>
        </w:rPr>
      </w:pPr>
    </w:p>
    <w:sectPr w:rsidR="00740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2B"/>
    <w:rsid w:val="00277934"/>
    <w:rsid w:val="003D2C2B"/>
    <w:rsid w:val="0074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934"/>
    <w:rPr>
      <w:color w:val="333333"/>
      <w:u w:val="single"/>
    </w:rPr>
  </w:style>
  <w:style w:type="character" w:styleId="a4">
    <w:name w:val="Strong"/>
    <w:basedOn w:val="a0"/>
    <w:uiPriority w:val="22"/>
    <w:qFormat/>
    <w:rsid w:val="002779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934"/>
    <w:rPr>
      <w:color w:val="333333"/>
      <w:u w:val="single"/>
    </w:rPr>
  </w:style>
  <w:style w:type="character" w:styleId="a4">
    <w:name w:val="Strong"/>
    <w:basedOn w:val="a0"/>
    <w:uiPriority w:val="22"/>
    <w:qFormat/>
    <w:rsid w:val="00277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cfo.net/csfg/mj.asp?id=A2011111895813588127" TargetMode="External"/><Relationship Id="rId5" Type="http://schemas.openxmlformats.org/officeDocument/2006/relationships/hyperlink" Target="http://www.chinacfo.net/peixun/view.asp?id=A201312613851593187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332</Words>
  <Characters>1898</Characters>
  <Application>Microsoft Office Word</Application>
  <DocSecurity>0</DocSecurity>
  <Lines>15</Lines>
  <Paragraphs>4</Paragraphs>
  <ScaleCrop>false</ScaleCrop>
  <Company>微软中国</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2013-08-15T08:50:00Z</dcterms:created>
  <dcterms:modified xsi:type="dcterms:W3CDTF">2013-08-15T08:52:00Z</dcterms:modified>
</cp:coreProperties>
</file>