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9D6" w:rsidRPr="006829D6" w:rsidRDefault="006829D6" w:rsidP="006829D6">
      <w:pPr>
        <w:widowControl/>
        <w:spacing w:before="100" w:beforeAutospacing="1" w:after="100" w:afterAutospacing="1" w:line="345" w:lineRule="atLeast"/>
        <w:ind w:firstLine="480"/>
        <w:jc w:val="center"/>
        <w:rPr>
          <w:rFonts w:ascii="宋体" w:eastAsia="宋体" w:hAnsi="宋体" w:cs="宋体"/>
          <w:color w:val="2B2B2B"/>
          <w:kern w:val="0"/>
          <w:szCs w:val="21"/>
        </w:rPr>
      </w:pPr>
      <w:r w:rsidRPr="006829D6">
        <w:rPr>
          <w:rFonts w:ascii="宋体" w:eastAsia="宋体" w:hAnsi="宋体" w:cs="宋体" w:hint="eastAsia"/>
          <w:b/>
          <w:bCs/>
          <w:color w:val="2B2B2B"/>
          <w:kern w:val="0"/>
          <w:sz w:val="36"/>
          <w:szCs w:val="36"/>
        </w:rPr>
        <w:t>关于免征部分鲜活肉蛋产品流通环节增值税政策的通知</w:t>
      </w:r>
      <w:r w:rsidRPr="006829D6">
        <w:rPr>
          <w:rFonts w:ascii="宋体" w:eastAsia="宋体" w:hAnsi="宋体" w:cs="宋体" w:hint="eastAsia"/>
          <w:color w:val="2B2B2B"/>
          <w:kern w:val="0"/>
          <w:szCs w:val="21"/>
        </w:rPr>
        <w:br/>
      </w:r>
      <w:bookmarkStart w:id="0" w:name="_GoBack"/>
      <w:r w:rsidRPr="006829D6">
        <w:rPr>
          <w:rFonts w:ascii="楷体_GB2312" w:eastAsia="楷体_GB2312" w:hAnsi="宋体" w:cs="宋体" w:hint="eastAsia"/>
          <w:color w:val="2B2B2B"/>
          <w:kern w:val="0"/>
          <w:szCs w:val="21"/>
        </w:rPr>
        <w:t>财税〔2012〕75号</w:t>
      </w:r>
      <w:bookmarkEnd w:id="0"/>
    </w:p>
    <w:p w:rsidR="006829D6" w:rsidRPr="006829D6" w:rsidRDefault="006829D6" w:rsidP="006829D6">
      <w:pPr>
        <w:widowControl/>
        <w:spacing w:before="100" w:beforeAutospacing="1" w:after="100" w:afterAutospacing="1" w:line="345" w:lineRule="atLeast"/>
        <w:ind w:firstLine="480"/>
        <w:rPr>
          <w:rFonts w:ascii="宋体" w:eastAsia="宋体" w:hAnsi="宋体" w:cs="宋体" w:hint="eastAsia"/>
          <w:color w:val="2B2B2B"/>
          <w:kern w:val="0"/>
          <w:szCs w:val="21"/>
        </w:rPr>
      </w:pPr>
      <w:r w:rsidRPr="006829D6">
        <w:rPr>
          <w:rFonts w:ascii="宋体" w:eastAsia="宋体" w:hAnsi="宋体" w:cs="宋体" w:hint="eastAsia"/>
          <w:color w:val="2B2B2B"/>
          <w:kern w:val="0"/>
          <w:szCs w:val="21"/>
        </w:rPr>
        <w:t>各省、自治区、直辖市、计划单列市财政厅（局）、国家税务局，新疆生产建设兵团财务局：</w:t>
      </w:r>
      <w:r w:rsidRPr="006829D6">
        <w:rPr>
          <w:rFonts w:ascii="宋体" w:eastAsia="宋体" w:hAnsi="宋体" w:cs="宋体" w:hint="eastAsia"/>
          <w:color w:val="2B2B2B"/>
          <w:kern w:val="0"/>
          <w:szCs w:val="21"/>
        </w:rPr>
        <w:br/>
        <w:t xml:space="preserve">　　经国务院批准，自2012年10月1日起，免征部分鲜活肉蛋产品流通环节增值税。现将有关事项通知如下：</w:t>
      </w:r>
      <w:r w:rsidRPr="006829D6">
        <w:rPr>
          <w:rFonts w:ascii="宋体" w:eastAsia="宋体" w:hAnsi="宋体" w:cs="宋体" w:hint="eastAsia"/>
          <w:color w:val="2B2B2B"/>
          <w:kern w:val="0"/>
          <w:szCs w:val="21"/>
        </w:rPr>
        <w:br/>
        <w:t xml:space="preserve">　　一、对从事农产品批发、零售的纳税人销售的部分鲜活肉蛋产品免征增值税。</w:t>
      </w:r>
      <w:r w:rsidRPr="006829D6">
        <w:rPr>
          <w:rFonts w:ascii="宋体" w:eastAsia="宋体" w:hAnsi="宋体" w:cs="宋体" w:hint="eastAsia"/>
          <w:color w:val="2B2B2B"/>
          <w:kern w:val="0"/>
          <w:szCs w:val="21"/>
        </w:rPr>
        <w:br/>
        <w:t xml:space="preserve">　　免征增值税的鲜活肉产品，是指猪、牛、羊、鸡、鸭、</w:t>
      </w:r>
      <w:proofErr w:type="gramStart"/>
      <w:r w:rsidRPr="006829D6">
        <w:rPr>
          <w:rFonts w:ascii="宋体" w:eastAsia="宋体" w:hAnsi="宋体" w:cs="宋体" w:hint="eastAsia"/>
          <w:color w:val="2B2B2B"/>
          <w:kern w:val="0"/>
          <w:szCs w:val="21"/>
        </w:rPr>
        <w:t>鹅及其</w:t>
      </w:r>
      <w:proofErr w:type="gramEnd"/>
      <w:r w:rsidRPr="006829D6">
        <w:rPr>
          <w:rFonts w:ascii="宋体" w:eastAsia="宋体" w:hAnsi="宋体" w:cs="宋体" w:hint="eastAsia"/>
          <w:color w:val="2B2B2B"/>
          <w:kern w:val="0"/>
          <w:szCs w:val="21"/>
        </w:rPr>
        <w:t>整块或者分割的鲜肉、冷藏或者冷冻肉，内脏、头、尾、骨、蹄、翅、爪等组织。</w:t>
      </w:r>
      <w:r w:rsidRPr="006829D6">
        <w:rPr>
          <w:rFonts w:ascii="宋体" w:eastAsia="宋体" w:hAnsi="宋体" w:cs="宋体" w:hint="eastAsia"/>
          <w:color w:val="2B2B2B"/>
          <w:kern w:val="0"/>
          <w:szCs w:val="21"/>
        </w:rPr>
        <w:br/>
        <w:t xml:space="preserve">　　免征增值税的鲜活蛋产品，是指鸡蛋、鸭蛋、鹅蛋，包括鲜蛋、冷藏蛋以及对其进行破壳分离的蛋液、蛋黄和蛋壳。</w:t>
      </w:r>
      <w:r w:rsidRPr="006829D6">
        <w:rPr>
          <w:rFonts w:ascii="宋体" w:eastAsia="宋体" w:hAnsi="宋体" w:cs="宋体" w:hint="eastAsia"/>
          <w:color w:val="2B2B2B"/>
          <w:kern w:val="0"/>
          <w:szCs w:val="21"/>
        </w:rPr>
        <w:br/>
        <w:t xml:space="preserve">　　上述产品中不包括《中华人民共和国野生动物保护法》所规定的国家珍贵、濒危野生动物及其鲜活肉类、蛋类产品。</w:t>
      </w:r>
      <w:r w:rsidRPr="006829D6">
        <w:rPr>
          <w:rFonts w:ascii="宋体" w:eastAsia="宋体" w:hAnsi="宋体" w:cs="宋体" w:hint="eastAsia"/>
          <w:color w:val="2B2B2B"/>
          <w:kern w:val="0"/>
          <w:szCs w:val="21"/>
        </w:rPr>
        <w:br/>
        <w:t xml:space="preserve">　　二、从事农产品批发、零售的纳税人既销售本通知第一条规定的部分鲜活肉蛋产品又销售其他增值税应税货物的，应分别核算上述鲜活肉蛋产品和其他增值税应税货物的销售额；未分别核算的，不得享受部分鲜活肉蛋产品增值税免税政策。</w:t>
      </w:r>
      <w:r w:rsidRPr="006829D6">
        <w:rPr>
          <w:rFonts w:ascii="宋体" w:eastAsia="宋体" w:hAnsi="宋体" w:cs="宋体" w:hint="eastAsia"/>
          <w:color w:val="2B2B2B"/>
          <w:kern w:val="0"/>
          <w:szCs w:val="21"/>
        </w:rPr>
        <w:br/>
        <w:t xml:space="preserve">　　三、《中华人民共和国增值税暂行条例》第八条所列准予从销项税额中扣除的进项税额的第（三）项所称的“销售发票”，是指小规模纳税人销售农产品依照3%征收率按简易办法计算缴纳增值税而自行开具或委托税务机关代开的普通发票。批发、零售纳税人享受免税政策后开具的普通发票不得作为计算抵扣进项税额的凭证。</w:t>
      </w:r>
      <w:r w:rsidRPr="006829D6">
        <w:rPr>
          <w:rFonts w:ascii="宋体" w:eastAsia="宋体" w:hAnsi="宋体" w:cs="宋体" w:hint="eastAsia"/>
          <w:color w:val="2B2B2B"/>
          <w:kern w:val="0"/>
          <w:szCs w:val="21"/>
        </w:rPr>
        <w:br/>
        <w:t xml:space="preserve">　　　　　　　　　　　　　　　　　　　　　　　　　　　财政部 国家税务总局</w:t>
      </w:r>
      <w:r w:rsidRPr="006829D6">
        <w:rPr>
          <w:rFonts w:ascii="宋体" w:eastAsia="宋体" w:hAnsi="宋体" w:cs="宋体" w:hint="eastAsia"/>
          <w:color w:val="2B2B2B"/>
          <w:kern w:val="0"/>
          <w:szCs w:val="21"/>
        </w:rPr>
        <w:br/>
      </w:r>
      <w:proofErr w:type="gramStart"/>
      <w:r w:rsidRPr="006829D6">
        <w:rPr>
          <w:rFonts w:ascii="宋体" w:eastAsia="宋体" w:hAnsi="宋体" w:cs="宋体" w:hint="eastAsia"/>
          <w:color w:val="2B2B2B"/>
          <w:kern w:val="0"/>
          <w:szCs w:val="21"/>
        </w:rPr>
        <w:t xml:space="preserve">　　　　　　　　　　　　　　　　　　　　　　　　　　　　　</w:t>
      </w:r>
      <w:proofErr w:type="gramEnd"/>
      <w:r w:rsidRPr="006829D6">
        <w:rPr>
          <w:rFonts w:ascii="宋体" w:eastAsia="宋体" w:hAnsi="宋体" w:cs="宋体" w:hint="eastAsia"/>
          <w:color w:val="2B2B2B"/>
          <w:kern w:val="0"/>
          <w:szCs w:val="21"/>
        </w:rPr>
        <w:t>2012年9月27日 </w:t>
      </w:r>
    </w:p>
    <w:p w:rsidR="0010642E" w:rsidRPr="006829D6" w:rsidRDefault="0010642E"/>
    <w:sectPr w:rsidR="0010642E" w:rsidRPr="006829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D33" w:rsidRDefault="00D43D33" w:rsidP="006829D6">
      <w:r>
        <w:separator/>
      </w:r>
    </w:p>
  </w:endnote>
  <w:endnote w:type="continuationSeparator" w:id="0">
    <w:p w:rsidR="00D43D33" w:rsidRDefault="00D43D33" w:rsidP="0068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D33" w:rsidRDefault="00D43D33" w:rsidP="006829D6">
      <w:r>
        <w:separator/>
      </w:r>
    </w:p>
  </w:footnote>
  <w:footnote w:type="continuationSeparator" w:id="0">
    <w:p w:rsidR="00D43D33" w:rsidRDefault="00D43D33" w:rsidP="00682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413"/>
    <w:rsid w:val="0010642E"/>
    <w:rsid w:val="006829D6"/>
    <w:rsid w:val="00D43D33"/>
    <w:rsid w:val="00E34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29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29D6"/>
    <w:rPr>
      <w:sz w:val="18"/>
      <w:szCs w:val="18"/>
    </w:rPr>
  </w:style>
  <w:style w:type="paragraph" w:styleId="a4">
    <w:name w:val="footer"/>
    <w:basedOn w:val="a"/>
    <w:link w:val="Char0"/>
    <w:uiPriority w:val="99"/>
    <w:unhideWhenUsed/>
    <w:rsid w:val="006829D6"/>
    <w:pPr>
      <w:tabs>
        <w:tab w:val="center" w:pos="4153"/>
        <w:tab w:val="right" w:pos="8306"/>
      </w:tabs>
      <w:snapToGrid w:val="0"/>
      <w:jc w:val="left"/>
    </w:pPr>
    <w:rPr>
      <w:sz w:val="18"/>
      <w:szCs w:val="18"/>
    </w:rPr>
  </w:style>
  <w:style w:type="character" w:customStyle="1" w:styleId="Char0">
    <w:name w:val="页脚 Char"/>
    <w:basedOn w:val="a0"/>
    <w:link w:val="a4"/>
    <w:uiPriority w:val="99"/>
    <w:rsid w:val="006829D6"/>
    <w:rPr>
      <w:sz w:val="18"/>
      <w:szCs w:val="18"/>
    </w:rPr>
  </w:style>
  <w:style w:type="character" w:styleId="a5">
    <w:name w:val="Strong"/>
    <w:basedOn w:val="a0"/>
    <w:uiPriority w:val="22"/>
    <w:qFormat/>
    <w:rsid w:val="006829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29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29D6"/>
    <w:rPr>
      <w:sz w:val="18"/>
      <w:szCs w:val="18"/>
    </w:rPr>
  </w:style>
  <w:style w:type="paragraph" w:styleId="a4">
    <w:name w:val="footer"/>
    <w:basedOn w:val="a"/>
    <w:link w:val="Char0"/>
    <w:uiPriority w:val="99"/>
    <w:unhideWhenUsed/>
    <w:rsid w:val="006829D6"/>
    <w:pPr>
      <w:tabs>
        <w:tab w:val="center" w:pos="4153"/>
        <w:tab w:val="right" w:pos="8306"/>
      </w:tabs>
      <w:snapToGrid w:val="0"/>
      <w:jc w:val="left"/>
    </w:pPr>
    <w:rPr>
      <w:sz w:val="18"/>
      <w:szCs w:val="18"/>
    </w:rPr>
  </w:style>
  <w:style w:type="character" w:customStyle="1" w:styleId="Char0">
    <w:name w:val="页脚 Char"/>
    <w:basedOn w:val="a0"/>
    <w:link w:val="a4"/>
    <w:uiPriority w:val="99"/>
    <w:rsid w:val="006829D6"/>
    <w:rPr>
      <w:sz w:val="18"/>
      <w:szCs w:val="18"/>
    </w:rPr>
  </w:style>
  <w:style w:type="character" w:styleId="a5">
    <w:name w:val="Strong"/>
    <w:basedOn w:val="a0"/>
    <w:uiPriority w:val="22"/>
    <w:qFormat/>
    <w:rsid w:val="006829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629701">
      <w:bodyDiv w:val="1"/>
      <w:marLeft w:val="0"/>
      <w:marRight w:val="0"/>
      <w:marTop w:val="0"/>
      <w:marBottom w:val="0"/>
      <w:divBdr>
        <w:top w:val="none" w:sz="0" w:space="0" w:color="auto"/>
        <w:left w:val="none" w:sz="0" w:space="0" w:color="auto"/>
        <w:bottom w:val="none" w:sz="0" w:space="0" w:color="auto"/>
        <w:right w:val="none" w:sz="0" w:space="0" w:color="auto"/>
      </w:divBdr>
      <w:divsChild>
        <w:div w:id="1192719591">
          <w:marLeft w:val="0"/>
          <w:marRight w:val="0"/>
          <w:marTop w:val="0"/>
          <w:marBottom w:val="0"/>
          <w:divBdr>
            <w:top w:val="none" w:sz="0" w:space="0" w:color="auto"/>
            <w:left w:val="none" w:sz="0" w:space="0" w:color="auto"/>
            <w:bottom w:val="none" w:sz="0" w:space="0" w:color="auto"/>
            <w:right w:val="none" w:sz="0" w:space="0" w:color="auto"/>
          </w:divBdr>
          <w:divsChild>
            <w:div w:id="1496798169">
              <w:marLeft w:val="0"/>
              <w:marRight w:val="0"/>
              <w:marTop w:val="0"/>
              <w:marBottom w:val="0"/>
              <w:divBdr>
                <w:top w:val="none" w:sz="0" w:space="0" w:color="auto"/>
                <w:left w:val="none" w:sz="0" w:space="0" w:color="auto"/>
                <w:bottom w:val="none" w:sz="0" w:space="0" w:color="auto"/>
                <w:right w:val="none" w:sz="0" w:space="0" w:color="auto"/>
              </w:divBdr>
              <w:divsChild>
                <w:div w:id="14975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Company>微软中国</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2013-08-22T06:17:00Z</dcterms:created>
  <dcterms:modified xsi:type="dcterms:W3CDTF">2013-08-22T06:17:00Z</dcterms:modified>
</cp:coreProperties>
</file>