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B1" w:rsidRPr="00CB56B1" w:rsidRDefault="00CB56B1" w:rsidP="00CB56B1">
      <w:pPr>
        <w:widowControl/>
        <w:spacing w:before="100" w:beforeAutospacing="1" w:after="100" w:afterAutospacing="1" w:line="379" w:lineRule="auto"/>
        <w:jc w:val="center"/>
        <w:rPr>
          <w:rFonts w:ascii="Arial" w:eastAsia="宋体" w:hAnsi="Arial" w:cs="Arial"/>
          <w:kern w:val="0"/>
          <w:sz w:val="18"/>
          <w:szCs w:val="18"/>
        </w:rPr>
      </w:pPr>
      <w:r w:rsidRPr="00CB56B1">
        <w:rPr>
          <w:rFonts w:ascii="Arial" w:eastAsia="宋体" w:hAnsi="Arial" w:cs="Arial"/>
          <w:kern w:val="0"/>
          <w:sz w:val="24"/>
          <w:szCs w:val="24"/>
        </w:rPr>
        <w:t>财政部</w:t>
      </w:r>
      <w:r w:rsidRPr="00CB56B1">
        <w:rPr>
          <w:rFonts w:ascii="Arial" w:eastAsia="宋体" w:hAnsi="Arial" w:cs="Arial"/>
          <w:kern w:val="0"/>
          <w:sz w:val="24"/>
          <w:szCs w:val="24"/>
        </w:rPr>
        <w:t xml:space="preserve"> </w:t>
      </w:r>
      <w:r w:rsidRPr="00CB56B1">
        <w:rPr>
          <w:rFonts w:ascii="Arial" w:eastAsia="宋体" w:hAnsi="Arial" w:cs="Arial"/>
          <w:kern w:val="0"/>
          <w:sz w:val="24"/>
          <w:szCs w:val="24"/>
        </w:rPr>
        <w:t>国家税务总局关于印发《总分支机构试点纳税人增值税计算缴纳暂行办法》的通知</w:t>
      </w:r>
      <w:r w:rsidRPr="00CB56B1">
        <w:rPr>
          <w:rFonts w:ascii="Arial" w:eastAsia="宋体" w:hAnsi="Arial" w:cs="Arial"/>
          <w:kern w:val="0"/>
          <w:sz w:val="20"/>
          <w:szCs w:val="20"/>
        </w:rPr>
        <w:t xml:space="preserve">  </w:t>
      </w:r>
    </w:p>
    <w:p w:rsidR="00CB56B1" w:rsidRPr="00CB56B1" w:rsidRDefault="00CB56B1" w:rsidP="00CB56B1">
      <w:pPr>
        <w:widowControl/>
        <w:spacing w:before="100" w:beforeAutospacing="1" w:after="100" w:afterAutospacing="1" w:line="379" w:lineRule="auto"/>
        <w:jc w:val="center"/>
        <w:rPr>
          <w:rFonts w:ascii="Arial" w:eastAsia="宋体" w:hAnsi="Arial" w:cs="Arial"/>
          <w:kern w:val="0"/>
          <w:sz w:val="18"/>
          <w:szCs w:val="18"/>
        </w:rPr>
      </w:pPr>
      <w:r w:rsidRPr="00CB56B1">
        <w:rPr>
          <w:rFonts w:ascii="Arial" w:eastAsia="宋体" w:hAnsi="Arial" w:cs="Arial"/>
          <w:kern w:val="0"/>
          <w:sz w:val="20"/>
          <w:szCs w:val="20"/>
        </w:rPr>
        <w:t>财税</w:t>
      </w:r>
      <w:r w:rsidRPr="00CB56B1">
        <w:rPr>
          <w:rFonts w:ascii="Arial" w:eastAsia="宋体" w:hAnsi="Arial" w:cs="Arial"/>
          <w:kern w:val="0"/>
          <w:sz w:val="20"/>
          <w:szCs w:val="20"/>
        </w:rPr>
        <w:t>[2012]84</w:t>
      </w:r>
      <w:r w:rsidRPr="00CB56B1">
        <w:rPr>
          <w:rFonts w:ascii="Arial" w:eastAsia="宋体" w:hAnsi="Arial" w:cs="Arial"/>
          <w:kern w:val="0"/>
          <w:sz w:val="20"/>
          <w:szCs w:val="20"/>
        </w:rPr>
        <w:t>号</w:t>
      </w:r>
      <w:r w:rsidRPr="00CB56B1">
        <w:rPr>
          <w:rFonts w:ascii="Arial" w:eastAsia="宋体" w:hAnsi="Arial" w:cs="Arial"/>
          <w:kern w:val="0"/>
          <w:sz w:val="20"/>
          <w:szCs w:val="20"/>
        </w:rPr>
        <w:t>                                                                  2012.12.31</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各省、自治区、直辖市、计划单列市财政厅（局）、国家税务局、地方税务局，新疆生产建设兵团财务局：</w:t>
      </w:r>
      <w:r w:rsidRPr="00CB56B1">
        <w:rPr>
          <w:rFonts w:ascii="Arial" w:eastAsia="宋体" w:hAnsi="Arial" w:cs="Arial"/>
          <w:kern w:val="0"/>
          <w:sz w:val="20"/>
          <w:szCs w:val="20"/>
        </w:rPr>
        <w:br/>
      </w:r>
      <w:r w:rsidRPr="00CB56B1">
        <w:rPr>
          <w:rFonts w:ascii="Arial" w:eastAsia="宋体" w:hAnsi="Arial" w:cs="Arial"/>
          <w:kern w:val="0"/>
          <w:sz w:val="20"/>
          <w:szCs w:val="20"/>
        </w:rPr>
        <w:t>为解决营业税改征增值税（以下简称</w:t>
      </w:r>
      <w:proofErr w:type="gramStart"/>
      <w:r w:rsidRPr="00CB56B1">
        <w:rPr>
          <w:rFonts w:ascii="Arial" w:eastAsia="宋体" w:hAnsi="Arial" w:cs="Arial"/>
          <w:kern w:val="0"/>
          <w:sz w:val="20"/>
          <w:szCs w:val="20"/>
        </w:rPr>
        <w:t>营改增</w:t>
      </w:r>
      <w:proofErr w:type="gramEnd"/>
      <w:r w:rsidRPr="00CB56B1">
        <w:rPr>
          <w:rFonts w:ascii="Arial" w:eastAsia="宋体" w:hAnsi="Arial" w:cs="Arial"/>
          <w:kern w:val="0"/>
          <w:sz w:val="20"/>
          <w:szCs w:val="20"/>
        </w:rPr>
        <w:t>）试点期间总分机构试点纳税人缴纳增值税问题，根据《</w:t>
      </w:r>
      <w:hyperlink r:id="rId5" w:history="1">
        <w:r w:rsidRPr="00CB56B1">
          <w:rPr>
            <w:rFonts w:ascii="Arial" w:eastAsia="宋体" w:hAnsi="Arial" w:cs="Arial"/>
            <w:kern w:val="0"/>
            <w:sz w:val="20"/>
            <w:szCs w:val="20"/>
          </w:rPr>
          <w:t>交通运输业和部分现代服务业营业税改征增值税试点实施办法</w:t>
        </w:r>
      </w:hyperlink>
      <w:r w:rsidRPr="00CB56B1">
        <w:rPr>
          <w:rFonts w:ascii="Arial" w:eastAsia="宋体" w:hAnsi="Arial" w:cs="Arial"/>
          <w:kern w:val="0"/>
          <w:sz w:val="20"/>
          <w:szCs w:val="20"/>
        </w:rPr>
        <w:t>》（</w:t>
      </w:r>
      <w:hyperlink r:id="rId6" w:history="1">
        <w:r w:rsidRPr="00CB56B1">
          <w:rPr>
            <w:rFonts w:ascii="Arial" w:eastAsia="宋体" w:hAnsi="Arial" w:cs="Arial"/>
            <w:kern w:val="0"/>
            <w:sz w:val="20"/>
            <w:szCs w:val="20"/>
          </w:rPr>
          <w:t>财税</w:t>
        </w:r>
        <w:r w:rsidRPr="00CB56B1">
          <w:rPr>
            <w:rFonts w:ascii="Arial" w:eastAsia="宋体" w:hAnsi="Arial" w:cs="Arial"/>
            <w:kern w:val="0"/>
            <w:sz w:val="20"/>
            <w:szCs w:val="20"/>
          </w:rPr>
          <w:t>[2011]111</w:t>
        </w:r>
        <w:r w:rsidRPr="00CB56B1">
          <w:rPr>
            <w:rFonts w:ascii="Arial" w:eastAsia="宋体" w:hAnsi="Arial" w:cs="Arial"/>
            <w:kern w:val="0"/>
            <w:sz w:val="20"/>
            <w:szCs w:val="20"/>
          </w:rPr>
          <w:t>号</w:t>
        </w:r>
      </w:hyperlink>
      <w:r w:rsidRPr="00CB56B1">
        <w:rPr>
          <w:rFonts w:ascii="Arial" w:eastAsia="宋体" w:hAnsi="Arial" w:cs="Arial"/>
          <w:kern w:val="0"/>
          <w:sz w:val="20"/>
          <w:szCs w:val="20"/>
        </w:rPr>
        <w:t>）和现行增值税有关规定，我们制定了《总分机构试点纳税人增值税计算缴纳暂行办法》（见附件），现予以印发。</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20"/>
          <w:szCs w:val="20"/>
        </w:rPr>
      </w:pPr>
      <w:r w:rsidRPr="00CB56B1">
        <w:rPr>
          <w:rFonts w:ascii="Arial" w:eastAsia="宋体" w:hAnsi="Arial" w:cs="Arial"/>
          <w:kern w:val="0"/>
          <w:sz w:val="20"/>
          <w:szCs w:val="20"/>
        </w:rPr>
        <w:t>财政部</w:t>
      </w:r>
      <w:r w:rsidRPr="00CB56B1">
        <w:rPr>
          <w:rFonts w:ascii="Arial" w:eastAsia="宋体" w:hAnsi="Arial" w:cs="Arial"/>
          <w:kern w:val="0"/>
          <w:sz w:val="20"/>
          <w:szCs w:val="20"/>
        </w:rPr>
        <w:t xml:space="preserve"> </w:t>
      </w:r>
      <w:r w:rsidRPr="00CB56B1">
        <w:rPr>
          <w:rFonts w:ascii="Arial" w:eastAsia="宋体" w:hAnsi="Arial" w:cs="Arial"/>
          <w:kern w:val="0"/>
          <w:sz w:val="20"/>
          <w:szCs w:val="20"/>
        </w:rPr>
        <w:t>国家税务总局</w:t>
      </w:r>
      <w:r w:rsidRPr="00CB56B1">
        <w:rPr>
          <w:rFonts w:ascii="Arial" w:eastAsia="宋体" w:hAnsi="Arial" w:cs="Arial"/>
          <w:kern w:val="0"/>
          <w:sz w:val="20"/>
          <w:szCs w:val="20"/>
        </w:rPr>
        <w:br/>
        <w:t>2012</w:t>
      </w:r>
      <w:r w:rsidRPr="00CB56B1">
        <w:rPr>
          <w:rFonts w:ascii="Arial" w:eastAsia="宋体" w:hAnsi="Arial" w:cs="Arial"/>
          <w:kern w:val="0"/>
          <w:sz w:val="20"/>
          <w:szCs w:val="20"/>
        </w:rPr>
        <w:t>年</w:t>
      </w:r>
      <w:r w:rsidRPr="00CB56B1">
        <w:rPr>
          <w:rFonts w:ascii="Arial" w:eastAsia="宋体" w:hAnsi="Arial" w:cs="Arial"/>
          <w:kern w:val="0"/>
          <w:sz w:val="20"/>
          <w:szCs w:val="20"/>
        </w:rPr>
        <w:t>12</w:t>
      </w:r>
      <w:r w:rsidRPr="00CB56B1">
        <w:rPr>
          <w:rFonts w:ascii="Arial" w:eastAsia="宋体" w:hAnsi="Arial" w:cs="Arial"/>
          <w:kern w:val="0"/>
          <w:sz w:val="20"/>
          <w:szCs w:val="20"/>
        </w:rPr>
        <w:t>月</w:t>
      </w:r>
      <w:r w:rsidRPr="00CB56B1">
        <w:rPr>
          <w:rFonts w:ascii="Arial" w:eastAsia="宋体" w:hAnsi="Arial" w:cs="Arial"/>
          <w:kern w:val="0"/>
          <w:sz w:val="20"/>
          <w:szCs w:val="20"/>
        </w:rPr>
        <w:t>31</w:t>
      </w:r>
      <w:r w:rsidRPr="00CB56B1">
        <w:rPr>
          <w:rFonts w:ascii="Arial" w:eastAsia="宋体" w:hAnsi="Arial" w:cs="Arial"/>
          <w:kern w:val="0"/>
          <w:sz w:val="20"/>
          <w:szCs w:val="20"/>
        </w:rPr>
        <w:t>日</w:t>
      </w:r>
      <w:r w:rsidRPr="00CB56B1">
        <w:rPr>
          <w:rFonts w:ascii="Arial" w:eastAsia="宋体" w:hAnsi="Arial" w:cs="Arial"/>
          <w:kern w:val="0"/>
          <w:sz w:val="18"/>
          <w:szCs w:val="18"/>
        </w:rPr>
        <w:t xml:space="preserve"> </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附件：</w:t>
      </w:r>
    </w:p>
    <w:p w:rsidR="00CB56B1" w:rsidRPr="00CB56B1" w:rsidRDefault="00CB56B1" w:rsidP="00CB56B1">
      <w:pPr>
        <w:widowControl/>
        <w:spacing w:before="100" w:beforeAutospacing="1" w:after="100" w:afterAutospacing="1" w:line="379" w:lineRule="auto"/>
        <w:jc w:val="center"/>
        <w:rPr>
          <w:rFonts w:ascii="Arial" w:eastAsia="宋体" w:hAnsi="Arial" w:cs="Arial"/>
          <w:kern w:val="0"/>
          <w:sz w:val="18"/>
          <w:szCs w:val="18"/>
        </w:rPr>
      </w:pPr>
      <w:r w:rsidRPr="00CB56B1">
        <w:rPr>
          <w:rFonts w:ascii="Arial" w:eastAsia="宋体" w:hAnsi="Arial" w:cs="Arial"/>
          <w:kern w:val="0"/>
          <w:sz w:val="24"/>
          <w:szCs w:val="24"/>
        </w:rPr>
        <w:t>总分机构试点纳税人增值税计算缴纳暂行办法</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一、经财政部和国家税务总局批准的总机构试点纳税人，及其分支机构按照本办法的规定计算缴纳增值税。</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二、总机构应当汇总计算总机构以及其分支机构发生《应税服务范围注释》所列业务的应交增值税</w:t>
      </w:r>
      <w:r w:rsidRPr="00CB56B1">
        <w:rPr>
          <w:rFonts w:ascii="Arial" w:eastAsia="宋体" w:hAnsi="Arial" w:cs="Arial"/>
          <w:kern w:val="0"/>
          <w:sz w:val="20"/>
          <w:szCs w:val="20"/>
        </w:rPr>
        <w:t>,</w:t>
      </w:r>
      <w:r w:rsidRPr="00CB56B1">
        <w:rPr>
          <w:rFonts w:ascii="Arial" w:eastAsia="宋体" w:hAnsi="Arial" w:cs="Arial"/>
          <w:kern w:val="0"/>
          <w:sz w:val="20"/>
          <w:szCs w:val="20"/>
        </w:rPr>
        <w:t>分支机构发生《应税服务范围注释》所列业务已缴纳的增值税和营业税税款后，在总机构所在地解缴入库。总机构销售货物、提供加工修理修配劳务，按照增值税暂行条例及相关规定申报缴纳增值税。</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三、总机构的汇总应征增值税销售额由以下两部分组成：</w:t>
      </w:r>
      <w:r w:rsidRPr="00CB56B1">
        <w:rPr>
          <w:rFonts w:ascii="Arial" w:eastAsia="宋体" w:hAnsi="Arial" w:cs="Arial"/>
          <w:kern w:val="0"/>
          <w:sz w:val="20"/>
          <w:szCs w:val="20"/>
        </w:rPr>
        <w:br/>
      </w:r>
      <w:r w:rsidRPr="00CB56B1">
        <w:rPr>
          <w:rFonts w:ascii="Arial" w:eastAsia="宋体" w:hAnsi="Arial" w:cs="Arial"/>
          <w:kern w:val="0"/>
          <w:sz w:val="20"/>
          <w:szCs w:val="20"/>
        </w:rPr>
        <w:t>（一）总机构及其试点地区分支机构发生《应税服务范围注释》所列业务的应征增值税销售额；</w:t>
      </w:r>
      <w:r w:rsidRPr="00CB56B1">
        <w:rPr>
          <w:rFonts w:ascii="Arial" w:eastAsia="宋体" w:hAnsi="Arial" w:cs="Arial"/>
          <w:kern w:val="0"/>
          <w:sz w:val="20"/>
          <w:szCs w:val="20"/>
        </w:rPr>
        <w:br/>
      </w:r>
      <w:r w:rsidRPr="00CB56B1">
        <w:rPr>
          <w:rFonts w:ascii="Arial" w:eastAsia="宋体" w:hAnsi="Arial" w:cs="Arial"/>
          <w:kern w:val="0"/>
          <w:sz w:val="20"/>
          <w:szCs w:val="20"/>
        </w:rPr>
        <w:t>（二）非试点地区分支机构发生《应税服务范围注释》所列业务的销售额。计算公式如下：</w:t>
      </w:r>
      <w:r w:rsidRPr="00CB56B1">
        <w:rPr>
          <w:rFonts w:ascii="Arial" w:eastAsia="宋体" w:hAnsi="Arial" w:cs="Arial"/>
          <w:kern w:val="0"/>
          <w:sz w:val="20"/>
          <w:szCs w:val="20"/>
        </w:rPr>
        <w:br/>
      </w:r>
      <w:r w:rsidRPr="00CB56B1">
        <w:rPr>
          <w:rFonts w:ascii="Arial" w:eastAsia="宋体" w:hAnsi="Arial" w:cs="Arial"/>
          <w:kern w:val="0"/>
          <w:sz w:val="20"/>
          <w:szCs w:val="20"/>
        </w:rPr>
        <w:t>销售额＝应税服务的营业额</w:t>
      </w:r>
      <w:r w:rsidRPr="00CB56B1">
        <w:rPr>
          <w:rFonts w:ascii="Arial" w:eastAsia="宋体" w:hAnsi="Arial" w:cs="Arial"/>
          <w:kern w:val="0"/>
          <w:sz w:val="20"/>
          <w:szCs w:val="20"/>
        </w:rPr>
        <w:t>÷</w:t>
      </w:r>
      <w:r w:rsidRPr="00CB56B1">
        <w:rPr>
          <w:rFonts w:ascii="Arial" w:eastAsia="宋体" w:hAnsi="Arial" w:cs="Arial"/>
          <w:kern w:val="0"/>
          <w:sz w:val="20"/>
          <w:szCs w:val="20"/>
        </w:rPr>
        <w:t>（</w:t>
      </w:r>
      <w:r w:rsidRPr="00CB56B1">
        <w:rPr>
          <w:rFonts w:ascii="Arial" w:eastAsia="宋体" w:hAnsi="Arial" w:cs="Arial"/>
          <w:kern w:val="0"/>
          <w:sz w:val="20"/>
          <w:szCs w:val="20"/>
        </w:rPr>
        <w:t>1</w:t>
      </w:r>
      <w:r w:rsidRPr="00CB56B1">
        <w:rPr>
          <w:rFonts w:ascii="Arial" w:eastAsia="宋体" w:hAnsi="Arial" w:cs="Arial"/>
          <w:kern w:val="0"/>
          <w:sz w:val="20"/>
          <w:szCs w:val="20"/>
        </w:rPr>
        <w:t>＋增值税适用税率）</w:t>
      </w:r>
      <w:r w:rsidRPr="00CB56B1">
        <w:rPr>
          <w:rFonts w:ascii="Arial" w:eastAsia="宋体" w:hAnsi="Arial" w:cs="Arial"/>
          <w:kern w:val="0"/>
          <w:sz w:val="20"/>
          <w:szCs w:val="20"/>
        </w:rPr>
        <w:br/>
      </w:r>
      <w:r w:rsidRPr="00CB56B1">
        <w:rPr>
          <w:rFonts w:ascii="Arial" w:eastAsia="宋体" w:hAnsi="Arial" w:cs="Arial"/>
          <w:kern w:val="0"/>
          <w:sz w:val="20"/>
          <w:szCs w:val="20"/>
        </w:rPr>
        <w:t>应税服务的营业额，是指非试点地区分支机构发生《应税服务范围注释》所列业务的营业额。增</w:t>
      </w:r>
      <w:r w:rsidRPr="00CB56B1">
        <w:rPr>
          <w:rFonts w:ascii="Arial" w:eastAsia="宋体" w:hAnsi="Arial" w:cs="Arial"/>
          <w:kern w:val="0"/>
          <w:sz w:val="20"/>
          <w:szCs w:val="20"/>
        </w:rPr>
        <w:lastRenderedPageBreak/>
        <w:t>值税适用税率，是指《交通运输业和部分现代服务业营业税改征增值税试点实施办法》（以下简称《试点实施办法》）规定的增值税适用税率。</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四、总机构汇总的销项税额，按照本办法第三条规定的应征增值税销售额和《试点实施办法》规定的增值税适用税率计算。</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五、总机构汇总的进项税额，是指总机构及其分支机构因发生《应税服务范围注释》所列业务而购进货物或者接受加工修理修配劳务和应税服务，支付或者负担的增值税税额。总机构及其分支机构用于发生《应税服务范围注释》所列业务之外的进项税额不得汇总。</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六、试点地区分支机构发生《应税服务范围注释》所列业务，按照应征增值税销售额和</w:t>
      </w:r>
      <w:proofErr w:type="gramStart"/>
      <w:r w:rsidRPr="00CB56B1">
        <w:rPr>
          <w:rFonts w:ascii="Arial" w:eastAsia="宋体" w:hAnsi="Arial" w:cs="Arial"/>
          <w:kern w:val="0"/>
          <w:sz w:val="20"/>
          <w:szCs w:val="20"/>
        </w:rPr>
        <w:t>预征率</w:t>
      </w:r>
      <w:proofErr w:type="gramEnd"/>
      <w:r w:rsidRPr="00CB56B1">
        <w:rPr>
          <w:rFonts w:ascii="Arial" w:eastAsia="宋体" w:hAnsi="Arial" w:cs="Arial"/>
          <w:kern w:val="0"/>
          <w:sz w:val="20"/>
          <w:szCs w:val="20"/>
        </w:rPr>
        <w:t>计算缴纳增值税。计算公式如下：</w:t>
      </w:r>
      <w:r w:rsidRPr="00CB56B1">
        <w:rPr>
          <w:rFonts w:ascii="Arial" w:eastAsia="宋体" w:hAnsi="Arial" w:cs="Arial"/>
          <w:kern w:val="0"/>
          <w:sz w:val="20"/>
          <w:szCs w:val="20"/>
        </w:rPr>
        <w:br/>
      </w:r>
      <w:r w:rsidRPr="00CB56B1">
        <w:rPr>
          <w:rFonts w:ascii="Arial" w:eastAsia="宋体" w:hAnsi="Arial" w:cs="Arial"/>
          <w:kern w:val="0"/>
          <w:sz w:val="20"/>
          <w:szCs w:val="20"/>
        </w:rPr>
        <w:t>应缴纳的增值税＝应征增值税销售额</w:t>
      </w:r>
      <w:r w:rsidRPr="00CB56B1">
        <w:rPr>
          <w:rFonts w:ascii="Arial" w:eastAsia="宋体" w:hAnsi="Arial" w:cs="Arial"/>
          <w:kern w:val="0"/>
          <w:sz w:val="20"/>
          <w:szCs w:val="20"/>
        </w:rPr>
        <w:t>×</w:t>
      </w:r>
      <w:proofErr w:type="gramStart"/>
      <w:r w:rsidRPr="00CB56B1">
        <w:rPr>
          <w:rFonts w:ascii="Arial" w:eastAsia="宋体" w:hAnsi="Arial" w:cs="Arial"/>
          <w:kern w:val="0"/>
          <w:sz w:val="20"/>
          <w:szCs w:val="20"/>
        </w:rPr>
        <w:t>预征率</w:t>
      </w:r>
      <w:r w:rsidRPr="00CB56B1">
        <w:rPr>
          <w:rFonts w:ascii="Arial" w:eastAsia="宋体" w:hAnsi="Arial" w:cs="Arial"/>
          <w:kern w:val="0"/>
          <w:sz w:val="20"/>
          <w:szCs w:val="20"/>
        </w:rPr>
        <w:br/>
      </w:r>
      <w:r w:rsidRPr="00CB56B1">
        <w:rPr>
          <w:rFonts w:ascii="Arial" w:eastAsia="宋体" w:hAnsi="Arial" w:cs="Arial"/>
          <w:kern w:val="0"/>
          <w:sz w:val="20"/>
          <w:szCs w:val="20"/>
        </w:rPr>
        <w:t>预征率</w:t>
      </w:r>
      <w:proofErr w:type="gramEnd"/>
      <w:r w:rsidRPr="00CB56B1">
        <w:rPr>
          <w:rFonts w:ascii="Arial" w:eastAsia="宋体" w:hAnsi="Arial" w:cs="Arial"/>
          <w:kern w:val="0"/>
          <w:sz w:val="20"/>
          <w:szCs w:val="20"/>
        </w:rPr>
        <w:t>由财政部和国家税务总局规定，并适时予以调整。</w:t>
      </w:r>
      <w:r w:rsidRPr="00CB56B1">
        <w:rPr>
          <w:rFonts w:ascii="Arial" w:eastAsia="宋体" w:hAnsi="Arial" w:cs="Arial"/>
          <w:kern w:val="0"/>
          <w:sz w:val="20"/>
          <w:szCs w:val="20"/>
        </w:rPr>
        <w:br/>
      </w:r>
      <w:r w:rsidRPr="00CB56B1">
        <w:rPr>
          <w:rFonts w:ascii="Arial" w:eastAsia="宋体" w:hAnsi="Arial" w:cs="Arial"/>
          <w:kern w:val="0"/>
          <w:sz w:val="20"/>
          <w:szCs w:val="20"/>
        </w:rPr>
        <w:t>试点地区分支机构和非试点地区分支机构销售货物、提供加工修理修配劳务，按照增值税暂行条例及相关规定就地申报缴纳增值税；非试点地区分支机构发生《应税服务范围注释》所列业务，按照现行规定申报缴纳营业税。</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七、分支机构发生《应税服务范围注释》所列业务当期已缴纳的增值税和营业税税款，允许在总机构当期增值税应纳税额中抵减，抵减不完的，可以结转下期继续抵减。</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八、总机构以及试点地区分支机构的其他增值税涉税事项，按照《财政部</w:t>
      </w:r>
      <w:r w:rsidRPr="00CB56B1">
        <w:rPr>
          <w:rFonts w:ascii="Arial" w:eastAsia="宋体" w:hAnsi="Arial" w:cs="Arial"/>
          <w:kern w:val="0"/>
          <w:sz w:val="20"/>
          <w:szCs w:val="20"/>
        </w:rPr>
        <w:t xml:space="preserve"> </w:t>
      </w:r>
      <w:r w:rsidRPr="00CB56B1">
        <w:rPr>
          <w:rFonts w:ascii="Arial" w:eastAsia="宋体" w:hAnsi="Arial" w:cs="Arial"/>
          <w:kern w:val="0"/>
          <w:sz w:val="20"/>
          <w:szCs w:val="20"/>
        </w:rPr>
        <w:t>国家税务总局关于在上海市开展交通运输业和部分现代服务业营业税改征增值税试点的通知》（</w:t>
      </w:r>
      <w:hyperlink r:id="rId7" w:history="1">
        <w:r w:rsidRPr="00CB56B1">
          <w:rPr>
            <w:rFonts w:ascii="Arial" w:eastAsia="宋体" w:hAnsi="Arial" w:cs="Arial"/>
            <w:kern w:val="0"/>
            <w:sz w:val="20"/>
            <w:szCs w:val="20"/>
          </w:rPr>
          <w:t>财税</w:t>
        </w:r>
        <w:r w:rsidRPr="00CB56B1">
          <w:rPr>
            <w:rFonts w:ascii="Arial" w:eastAsia="宋体" w:hAnsi="Arial" w:cs="Arial"/>
            <w:kern w:val="0"/>
            <w:sz w:val="20"/>
            <w:szCs w:val="20"/>
          </w:rPr>
          <w:t>[2011]111</w:t>
        </w:r>
        <w:r w:rsidRPr="00CB56B1">
          <w:rPr>
            <w:rFonts w:ascii="Arial" w:eastAsia="宋体" w:hAnsi="Arial" w:cs="Arial"/>
            <w:kern w:val="0"/>
            <w:sz w:val="20"/>
            <w:szCs w:val="20"/>
          </w:rPr>
          <w:t>号</w:t>
        </w:r>
      </w:hyperlink>
      <w:r w:rsidRPr="00CB56B1">
        <w:rPr>
          <w:rFonts w:ascii="Arial" w:eastAsia="宋体" w:hAnsi="Arial" w:cs="Arial"/>
          <w:kern w:val="0"/>
          <w:sz w:val="20"/>
          <w:szCs w:val="20"/>
        </w:rPr>
        <w:t>）及其他增值税有关政策执行。</w:t>
      </w:r>
    </w:p>
    <w:p w:rsidR="00CB56B1" w:rsidRPr="00CB56B1" w:rsidRDefault="00CB56B1" w:rsidP="00CB56B1">
      <w:pPr>
        <w:widowControl/>
        <w:spacing w:before="100" w:beforeAutospacing="1" w:after="100" w:afterAutospacing="1" w:line="379" w:lineRule="auto"/>
        <w:jc w:val="left"/>
        <w:rPr>
          <w:rFonts w:ascii="Arial" w:eastAsia="宋体" w:hAnsi="Arial" w:cs="Arial"/>
          <w:kern w:val="0"/>
          <w:sz w:val="18"/>
          <w:szCs w:val="18"/>
        </w:rPr>
      </w:pPr>
      <w:r w:rsidRPr="00CB56B1">
        <w:rPr>
          <w:rFonts w:ascii="Arial" w:eastAsia="宋体" w:hAnsi="Arial" w:cs="Arial"/>
          <w:kern w:val="0"/>
          <w:sz w:val="20"/>
          <w:szCs w:val="20"/>
        </w:rPr>
        <w:t>九、总分机构试点纳税人增值税具体管理办法由国家税务总局另行制定。</w:t>
      </w:r>
    </w:p>
    <w:p w:rsidR="008A1BC5" w:rsidRPr="00CB56B1" w:rsidRDefault="008A1BC5">
      <w:pPr>
        <w:rPr>
          <w:rFonts w:hint="eastAsia"/>
        </w:rPr>
      </w:pPr>
      <w:bookmarkStart w:id="0" w:name="_GoBack"/>
      <w:bookmarkEnd w:id="0"/>
    </w:p>
    <w:sectPr w:rsidR="008A1BC5" w:rsidRPr="00CB5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84"/>
    <w:rsid w:val="00324584"/>
    <w:rsid w:val="008A1BC5"/>
    <w:rsid w:val="00CB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56B1"/>
    <w:rPr>
      <w:strike w:val="0"/>
      <w:dstrike w:val="0"/>
      <w:color w:val="284C6F"/>
      <w:u w:val="none"/>
      <w:effect w:val="none"/>
    </w:rPr>
  </w:style>
  <w:style w:type="paragraph" w:styleId="a4">
    <w:name w:val="Normal (Web)"/>
    <w:basedOn w:val="a"/>
    <w:uiPriority w:val="99"/>
    <w:semiHidden/>
    <w:unhideWhenUsed/>
    <w:rsid w:val="00CB56B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56B1"/>
    <w:rPr>
      <w:strike w:val="0"/>
      <w:dstrike w:val="0"/>
      <w:color w:val="284C6F"/>
      <w:u w:val="none"/>
      <w:effect w:val="none"/>
    </w:rPr>
  </w:style>
  <w:style w:type="paragraph" w:styleId="a4">
    <w:name w:val="Normal (Web)"/>
    <w:basedOn w:val="a"/>
    <w:uiPriority w:val="99"/>
    <w:semiHidden/>
    <w:unhideWhenUsed/>
    <w:rsid w:val="00CB56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5993">
      <w:bodyDiv w:val="1"/>
      <w:marLeft w:val="0"/>
      <w:marRight w:val="0"/>
      <w:marTop w:val="0"/>
      <w:marBottom w:val="0"/>
      <w:divBdr>
        <w:top w:val="none" w:sz="0" w:space="0" w:color="auto"/>
        <w:left w:val="none" w:sz="0" w:space="0" w:color="auto"/>
        <w:bottom w:val="none" w:sz="0" w:space="0" w:color="auto"/>
        <w:right w:val="none" w:sz="0" w:space="0" w:color="auto"/>
      </w:divBdr>
      <w:divsChild>
        <w:div w:id="471144810">
          <w:marLeft w:val="0"/>
          <w:marRight w:val="0"/>
          <w:marTop w:val="0"/>
          <w:marBottom w:val="0"/>
          <w:divBdr>
            <w:top w:val="none" w:sz="0" w:space="0" w:color="auto"/>
            <w:left w:val="none" w:sz="0" w:space="0" w:color="auto"/>
            <w:bottom w:val="none" w:sz="0" w:space="0" w:color="auto"/>
            <w:right w:val="none" w:sz="0" w:space="0" w:color="auto"/>
          </w:divBdr>
          <w:divsChild>
            <w:div w:id="2036349281">
              <w:marLeft w:val="0"/>
              <w:marRight w:val="0"/>
              <w:marTop w:val="0"/>
              <w:marBottom w:val="0"/>
              <w:divBdr>
                <w:top w:val="none" w:sz="0" w:space="0" w:color="auto"/>
                <w:left w:val="none" w:sz="0" w:space="0" w:color="auto"/>
                <w:bottom w:val="none" w:sz="0" w:space="0" w:color="auto"/>
                <w:right w:val="none" w:sz="0" w:space="0" w:color="auto"/>
              </w:divBdr>
              <w:divsChild>
                <w:div w:id="19234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ui5.cn/article/73/5203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73/52031.html" TargetMode="External"/><Relationship Id="rId5" Type="http://schemas.openxmlformats.org/officeDocument/2006/relationships/hyperlink" Target="http://www.shui5.cn/article/73/5203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1317</Characters>
  <Application>Microsoft Office Word</Application>
  <DocSecurity>0</DocSecurity>
  <Lines>10</Lines>
  <Paragraphs>3</Paragraphs>
  <ScaleCrop>false</ScaleCrop>
  <Company>微软中国</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2013-08-13T09:18:00Z</dcterms:created>
  <dcterms:modified xsi:type="dcterms:W3CDTF">2013-08-13T09:19:00Z</dcterms:modified>
</cp:coreProperties>
</file>