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7DC" w:rsidRPr="001027DC" w:rsidRDefault="001027DC" w:rsidP="001027DC">
      <w:pPr>
        <w:widowControl/>
        <w:spacing w:before="100" w:beforeAutospacing="1" w:after="100" w:afterAutospacing="1"/>
        <w:jc w:val="left"/>
        <w:rPr>
          <w:rFonts w:ascii="Arial" w:eastAsia="宋体" w:hAnsi="Arial" w:cs="Arial"/>
          <w:kern w:val="0"/>
          <w:sz w:val="18"/>
          <w:szCs w:val="18"/>
        </w:rPr>
      </w:pPr>
      <w:r w:rsidRPr="001027DC">
        <w:rPr>
          <w:rFonts w:ascii="Arial" w:eastAsia="宋体" w:hAnsi="Arial" w:cs="Arial"/>
          <w:kern w:val="0"/>
          <w:sz w:val="18"/>
          <w:szCs w:val="18"/>
        </w:rPr>
        <w:t>财政部</w:t>
      </w:r>
      <w:r w:rsidRPr="001027DC">
        <w:rPr>
          <w:rFonts w:ascii="Arial" w:eastAsia="宋体" w:hAnsi="Arial" w:cs="Arial"/>
          <w:kern w:val="0"/>
          <w:sz w:val="18"/>
          <w:szCs w:val="18"/>
        </w:rPr>
        <w:t xml:space="preserve"> </w:t>
      </w:r>
      <w:r w:rsidRPr="001027DC">
        <w:rPr>
          <w:rFonts w:ascii="Arial" w:eastAsia="宋体" w:hAnsi="Arial" w:cs="Arial"/>
          <w:kern w:val="0"/>
          <w:sz w:val="18"/>
          <w:szCs w:val="18"/>
        </w:rPr>
        <w:t>国家税务总局关于原油天然气资源税改革有关问题的通知</w:t>
      </w:r>
    </w:p>
    <w:p w:rsidR="001027DC" w:rsidRPr="001027DC" w:rsidRDefault="001027DC" w:rsidP="001027DC">
      <w:pPr>
        <w:widowControl/>
        <w:spacing w:before="100" w:beforeAutospacing="1" w:after="100" w:afterAutospacing="1"/>
        <w:jc w:val="left"/>
        <w:rPr>
          <w:rFonts w:ascii="Arial" w:eastAsia="宋体" w:hAnsi="Arial" w:cs="Arial"/>
          <w:kern w:val="0"/>
          <w:sz w:val="18"/>
          <w:szCs w:val="18"/>
        </w:rPr>
      </w:pPr>
      <w:r w:rsidRPr="001027DC">
        <w:rPr>
          <w:rFonts w:ascii="Arial" w:eastAsia="宋体" w:hAnsi="Arial" w:cs="Arial"/>
          <w:kern w:val="0"/>
          <w:sz w:val="18"/>
          <w:szCs w:val="18"/>
        </w:rPr>
        <w:t>文号：财税【</w:t>
      </w:r>
      <w:r w:rsidRPr="001027DC">
        <w:rPr>
          <w:rFonts w:ascii="Arial" w:eastAsia="宋体" w:hAnsi="Arial" w:cs="Arial"/>
          <w:kern w:val="0"/>
          <w:sz w:val="18"/>
          <w:szCs w:val="18"/>
        </w:rPr>
        <w:t>2011</w:t>
      </w:r>
      <w:r w:rsidRPr="001027DC">
        <w:rPr>
          <w:rFonts w:ascii="Arial" w:eastAsia="宋体" w:hAnsi="Arial" w:cs="Arial"/>
          <w:kern w:val="0"/>
          <w:sz w:val="18"/>
          <w:szCs w:val="18"/>
        </w:rPr>
        <w:t>】</w:t>
      </w:r>
      <w:r w:rsidRPr="001027DC">
        <w:rPr>
          <w:rFonts w:ascii="Arial" w:eastAsia="宋体" w:hAnsi="Arial" w:cs="Arial"/>
          <w:kern w:val="0"/>
          <w:sz w:val="18"/>
          <w:szCs w:val="18"/>
        </w:rPr>
        <w:t>114</w:t>
      </w:r>
      <w:r w:rsidRPr="001027DC">
        <w:rPr>
          <w:rFonts w:ascii="Arial" w:eastAsia="宋体" w:hAnsi="Arial" w:cs="Arial"/>
          <w:kern w:val="0"/>
          <w:sz w:val="18"/>
          <w:szCs w:val="18"/>
        </w:rPr>
        <w:t>号</w:t>
      </w:r>
    </w:p>
    <w:p w:rsidR="001027DC" w:rsidRPr="001027DC" w:rsidRDefault="001027DC" w:rsidP="001027DC">
      <w:pPr>
        <w:widowControl/>
        <w:spacing w:before="100" w:beforeAutospacing="1" w:after="100" w:afterAutospacing="1"/>
        <w:jc w:val="left"/>
        <w:rPr>
          <w:rFonts w:ascii="Arial" w:eastAsia="宋体" w:hAnsi="Arial" w:cs="Arial"/>
          <w:kern w:val="0"/>
          <w:sz w:val="18"/>
          <w:szCs w:val="18"/>
        </w:rPr>
      </w:pPr>
      <w:r w:rsidRPr="001027DC">
        <w:rPr>
          <w:rFonts w:ascii="Arial" w:eastAsia="宋体" w:hAnsi="Arial" w:cs="Arial"/>
          <w:kern w:val="0"/>
          <w:sz w:val="18"/>
          <w:szCs w:val="18"/>
        </w:rPr>
        <w:t>税种：资源税</w:t>
      </w:r>
    </w:p>
    <w:p w:rsidR="001027DC" w:rsidRPr="001027DC" w:rsidRDefault="001027DC" w:rsidP="001027DC">
      <w:pPr>
        <w:widowControl/>
        <w:spacing w:before="100" w:beforeAutospacing="1" w:after="100" w:afterAutospacing="1"/>
        <w:jc w:val="left"/>
        <w:rPr>
          <w:rFonts w:ascii="Arial" w:eastAsia="宋体" w:hAnsi="Arial" w:cs="Arial"/>
          <w:kern w:val="0"/>
          <w:sz w:val="18"/>
          <w:szCs w:val="18"/>
        </w:rPr>
      </w:pPr>
      <w:r w:rsidRPr="001027DC">
        <w:rPr>
          <w:rFonts w:ascii="Arial" w:eastAsia="宋体" w:hAnsi="Arial" w:cs="Arial"/>
          <w:kern w:val="0"/>
          <w:sz w:val="18"/>
          <w:szCs w:val="18"/>
        </w:rPr>
        <w:t>颁布日期：</w:t>
      </w:r>
      <w:r w:rsidRPr="001027DC">
        <w:rPr>
          <w:rFonts w:ascii="Arial" w:eastAsia="宋体" w:hAnsi="Arial" w:cs="Arial"/>
          <w:kern w:val="0"/>
          <w:sz w:val="18"/>
          <w:szCs w:val="18"/>
        </w:rPr>
        <w:t>2011-11-17</w:t>
      </w:r>
    </w:p>
    <w:p w:rsidR="001027DC" w:rsidRPr="001027DC" w:rsidRDefault="001027DC" w:rsidP="001027DC">
      <w:pPr>
        <w:widowControl/>
        <w:spacing w:before="100" w:beforeAutospacing="1" w:after="100" w:afterAutospacing="1"/>
        <w:jc w:val="left"/>
        <w:rPr>
          <w:rFonts w:ascii="Arial" w:eastAsia="宋体" w:hAnsi="Arial" w:cs="Arial"/>
          <w:kern w:val="0"/>
          <w:sz w:val="18"/>
          <w:szCs w:val="18"/>
        </w:rPr>
      </w:pPr>
      <w:r w:rsidRPr="001027DC">
        <w:rPr>
          <w:rFonts w:ascii="Arial" w:eastAsia="宋体" w:hAnsi="Arial" w:cs="Arial"/>
          <w:kern w:val="0"/>
          <w:sz w:val="18"/>
          <w:szCs w:val="18"/>
        </w:rPr>
        <w:t>颁布部门：财政部</w:t>
      </w:r>
      <w:r w:rsidRPr="001027DC">
        <w:rPr>
          <w:rFonts w:ascii="Arial" w:eastAsia="宋体" w:hAnsi="Arial" w:cs="Arial"/>
          <w:kern w:val="0"/>
          <w:sz w:val="18"/>
          <w:szCs w:val="18"/>
        </w:rPr>
        <w:t>,</w:t>
      </w:r>
      <w:r w:rsidRPr="001027DC">
        <w:rPr>
          <w:rFonts w:ascii="Arial" w:eastAsia="宋体" w:hAnsi="Arial" w:cs="Arial"/>
          <w:kern w:val="0"/>
          <w:sz w:val="18"/>
          <w:szCs w:val="18"/>
        </w:rPr>
        <w:t>国家税务总局</w:t>
      </w:r>
    </w:p>
    <w:p w:rsidR="001027DC" w:rsidRPr="001027DC" w:rsidRDefault="001027DC" w:rsidP="001027DC">
      <w:pPr>
        <w:widowControl/>
        <w:spacing w:before="100" w:beforeAutospacing="1" w:after="100" w:afterAutospacing="1"/>
        <w:jc w:val="left"/>
        <w:rPr>
          <w:rFonts w:ascii="Arial" w:eastAsia="宋体" w:hAnsi="Arial" w:cs="Arial"/>
          <w:kern w:val="0"/>
          <w:sz w:val="18"/>
          <w:szCs w:val="18"/>
        </w:rPr>
      </w:pPr>
      <w:r w:rsidRPr="001027DC">
        <w:rPr>
          <w:rFonts w:ascii="Arial" w:eastAsia="宋体" w:hAnsi="Arial" w:cs="Arial"/>
          <w:kern w:val="0"/>
          <w:sz w:val="18"/>
          <w:szCs w:val="18"/>
        </w:rPr>
        <w:t>实施日期：</w:t>
      </w:r>
      <w:r w:rsidRPr="001027DC">
        <w:rPr>
          <w:rFonts w:ascii="Arial" w:eastAsia="宋体" w:hAnsi="Arial" w:cs="Arial"/>
          <w:kern w:val="0"/>
          <w:sz w:val="18"/>
          <w:szCs w:val="18"/>
        </w:rPr>
        <w:t>2011-11-01</w:t>
      </w:r>
    </w:p>
    <w:p w:rsidR="001027DC" w:rsidRPr="001027DC" w:rsidRDefault="001027DC" w:rsidP="001027DC">
      <w:pPr>
        <w:widowControl/>
        <w:spacing w:before="100" w:beforeAutospacing="1" w:after="100" w:afterAutospacing="1"/>
        <w:jc w:val="left"/>
        <w:rPr>
          <w:rFonts w:ascii="Arial" w:eastAsia="宋体" w:hAnsi="Arial" w:cs="Arial"/>
          <w:kern w:val="0"/>
          <w:sz w:val="18"/>
          <w:szCs w:val="18"/>
        </w:rPr>
      </w:pPr>
      <w:r w:rsidRPr="001027DC">
        <w:rPr>
          <w:rFonts w:ascii="Arial" w:eastAsia="宋体" w:hAnsi="Arial" w:cs="Arial"/>
          <w:kern w:val="0"/>
          <w:sz w:val="18"/>
          <w:szCs w:val="18"/>
        </w:rPr>
        <w:t>附件：</w:t>
      </w:r>
    </w:p>
    <w:p w:rsidR="001027DC" w:rsidRDefault="001027DC" w:rsidP="001027DC">
      <w:pPr>
        <w:widowControl/>
        <w:jc w:val="left"/>
        <w:rPr>
          <w:rFonts w:ascii="Arial" w:eastAsia="宋体" w:hAnsi="Arial" w:cs="Arial" w:hint="eastAsia"/>
          <w:kern w:val="0"/>
          <w:szCs w:val="21"/>
        </w:rPr>
      </w:pPr>
      <w:r w:rsidRPr="001027DC">
        <w:rPr>
          <w:rFonts w:ascii="Arial" w:eastAsia="宋体" w:hAnsi="Arial" w:cs="Arial"/>
          <w:kern w:val="0"/>
          <w:szCs w:val="21"/>
        </w:rPr>
        <w:t>各省、自治区、直辖市、计划单列市财政厅（局）、地方税务局，天津、上海、深圳、广东省（直辖市、计划单列市）国家税务局，新疆生产建设兵团财务局：</w:t>
      </w:r>
    </w:p>
    <w:p w:rsidR="00764A2A" w:rsidRPr="001027DC" w:rsidRDefault="00764A2A" w:rsidP="001027DC">
      <w:pPr>
        <w:widowControl/>
        <w:jc w:val="left"/>
        <w:rPr>
          <w:rFonts w:ascii="Arial" w:eastAsia="宋体" w:hAnsi="Arial" w:cs="Arial"/>
          <w:kern w:val="0"/>
          <w:sz w:val="18"/>
          <w:szCs w:val="18"/>
        </w:rPr>
      </w:pPr>
    </w:p>
    <w:p w:rsidR="001027DC" w:rsidRPr="001027DC" w:rsidRDefault="001027DC" w:rsidP="001027DC">
      <w:pPr>
        <w:widowControl/>
        <w:jc w:val="left"/>
        <w:rPr>
          <w:rFonts w:ascii="Arial" w:eastAsia="宋体" w:hAnsi="Arial" w:cs="Arial"/>
          <w:kern w:val="0"/>
          <w:sz w:val="18"/>
          <w:szCs w:val="18"/>
        </w:rPr>
      </w:pPr>
      <w:bookmarkStart w:id="0" w:name="_GoBack"/>
      <w:bookmarkEnd w:id="0"/>
      <w:r w:rsidRPr="001027DC">
        <w:rPr>
          <w:rFonts w:ascii="Arial" w:eastAsia="宋体" w:hAnsi="Arial" w:cs="Arial"/>
          <w:kern w:val="0"/>
          <w:szCs w:val="21"/>
        </w:rPr>
        <w:t>根据国务院决定，自</w:t>
      </w:r>
      <w:r w:rsidRPr="001027DC">
        <w:rPr>
          <w:rFonts w:ascii="Arial" w:eastAsia="宋体" w:hAnsi="Arial" w:cs="Arial"/>
          <w:kern w:val="0"/>
          <w:szCs w:val="21"/>
        </w:rPr>
        <w:t>2011</w:t>
      </w:r>
      <w:r w:rsidRPr="001027DC">
        <w:rPr>
          <w:rFonts w:ascii="Arial" w:eastAsia="宋体" w:hAnsi="Arial" w:cs="Arial"/>
          <w:kern w:val="0"/>
          <w:szCs w:val="21"/>
        </w:rPr>
        <w:t>年</w:t>
      </w:r>
      <w:r w:rsidRPr="001027DC">
        <w:rPr>
          <w:rFonts w:ascii="Arial" w:eastAsia="宋体" w:hAnsi="Arial" w:cs="Arial"/>
          <w:kern w:val="0"/>
          <w:szCs w:val="21"/>
        </w:rPr>
        <w:t>11</w:t>
      </w:r>
      <w:r w:rsidRPr="001027DC">
        <w:rPr>
          <w:rFonts w:ascii="Arial" w:eastAsia="宋体" w:hAnsi="Arial" w:cs="Arial"/>
          <w:kern w:val="0"/>
          <w:szCs w:val="21"/>
        </w:rPr>
        <w:t>月</w:t>
      </w:r>
      <w:r w:rsidRPr="001027DC">
        <w:rPr>
          <w:rFonts w:ascii="Arial" w:eastAsia="宋体" w:hAnsi="Arial" w:cs="Arial"/>
          <w:kern w:val="0"/>
          <w:szCs w:val="21"/>
        </w:rPr>
        <w:t>1</w:t>
      </w:r>
      <w:r w:rsidRPr="001027DC">
        <w:rPr>
          <w:rFonts w:ascii="Arial" w:eastAsia="宋体" w:hAnsi="Arial" w:cs="Arial"/>
          <w:kern w:val="0"/>
          <w:szCs w:val="21"/>
        </w:rPr>
        <w:t>日起，在全国实施原油、天然气资源税改革，现就有关问题通知如下：</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一、关于原油、天然气资源税优惠政策问题</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经国务院批准，对开采下列原油、天然气免征或减征资源税：</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（一）油田范围内运输稠油过程中用于加热的原油、天然气免征资源税。</w:t>
      </w:r>
      <w:r w:rsidRPr="001027DC">
        <w:rPr>
          <w:rFonts w:ascii="Arial" w:eastAsia="宋体" w:hAnsi="Arial" w:cs="Arial"/>
          <w:kern w:val="0"/>
          <w:sz w:val="20"/>
          <w:szCs w:val="20"/>
        </w:rPr>
        <w:br/>
      </w:r>
      <w:r w:rsidRPr="001027DC">
        <w:rPr>
          <w:rFonts w:ascii="Arial" w:eastAsia="宋体" w:hAnsi="Arial" w:cs="Arial"/>
          <w:kern w:val="0"/>
          <w:szCs w:val="21"/>
        </w:rPr>
        <w:t>（二）稠油、高凝油和高含硫天然气资源税减征</w:t>
      </w:r>
      <w:r w:rsidRPr="001027DC">
        <w:rPr>
          <w:rFonts w:ascii="Arial" w:eastAsia="宋体" w:hAnsi="Arial" w:cs="Arial"/>
          <w:kern w:val="0"/>
          <w:szCs w:val="21"/>
        </w:rPr>
        <w:t>40%</w:t>
      </w:r>
      <w:r w:rsidRPr="001027DC">
        <w:rPr>
          <w:rFonts w:ascii="Arial" w:eastAsia="宋体" w:hAnsi="Arial" w:cs="Arial"/>
          <w:kern w:val="0"/>
          <w:szCs w:val="21"/>
        </w:rPr>
        <w:t>。</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稠油，是指地层原油粘度大于或等于</w:t>
      </w:r>
      <w:r w:rsidRPr="001027DC">
        <w:rPr>
          <w:rFonts w:ascii="Arial" w:eastAsia="宋体" w:hAnsi="Arial" w:cs="Arial"/>
          <w:kern w:val="0"/>
          <w:szCs w:val="21"/>
        </w:rPr>
        <w:t>50</w:t>
      </w:r>
      <w:r w:rsidRPr="001027DC">
        <w:rPr>
          <w:rFonts w:ascii="Arial" w:eastAsia="宋体" w:hAnsi="Arial" w:cs="Arial"/>
          <w:kern w:val="0"/>
          <w:szCs w:val="21"/>
        </w:rPr>
        <w:t>毫帕／秒或原油密度大于或等于</w:t>
      </w:r>
      <w:r w:rsidRPr="001027DC">
        <w:rPr>
          <w:rFonts w:ascii="Arial" w:eastAsia="宋体" w:hAnsi="Arial" w:cs="Arial"/>
          <w:kern w:val="0"/>
          <w:szCs w:val="21"/>
        </w:rPr>
        <w:t>0.92</w:t>
      </w:r>
      <w:r w:rsidRPr="001027DC">
        <w:rPr>
          <w:rFonts w:ascii="Arial" w:eastAsia="宋体" w:hAnsi="Arial" w:cs="Arial"/>
          <w:kern w:val="0"/>
          <w:szCs w:val="21"/>
        </w:rPr>
        <w:t>克／立方厘米的原油。高凝油，是指凝固点大于</w:t>
      </w:r>
      <w:r w:rsidRPr="001027DC">
        <w:rPr>
          <w:rFonts w:ascii="Arial" w:eastAsia="宋体" w:hAnsi="Arial" w:cs="Arial"/>
          <w:kern w:val="0"/>
          <w:szCs w:val="21"/>
        </w:rPr>
        <w:t>40</w:t>
      </w:r>
      <w:r w:rsidRPr="001027DC">
        <w:rPr>
          <w:rFonts w:ascii="宋体" w:eastAsia="宋体" w:hAnsi="宋体" w:cs="宋体" w:hint="eastAsia"/>
          <w:kern w:val="0"/>
          <w:szCs w:val="21"/>
        </w:rPr>
        <w:t>℃</w:t>
      </w:r>
      <w:r w:rsidRPr="001027DC">
        <w:rPr>
          <w:rFonts w:ascii="Arial" w:eastAsia="宋体" w:hAnsi="Arial" w:cs="Arial"/>
          <w:kern w:val="0"/>
          <w:szCs w:val="21"/>
        </w:rPr>
        <w:t>的原油。高含硫天然气，是指硫化氢含量大于</w:t>
      </w:r>
      <w:proofErr w:type="gramStart"/>
      <w:r w:rsidRPr="001027DC">
        <w:rPr>
          <w:rFonts w:ascii="Arial" w:eastAsia="宋体" w:hAnsi="Arial" w:cs="Arial"/>
          <w:kern w:val="0"/>
          <w:szCs w:val="21"/>
        </w:rPr>
        <w:t>或等予</w:t>
      </w:r>
      <w:r w:rsidRPr="001027DC">
        <w:rPr>
          <w:rFonts w:ascii="Arial" w:eastAsia="宋体" w:hAnsi="Arial" w:cs="Arial"/>
          <w:kern w:val="0"/>
          <w:szCs w:val="21"/>
        </w:rPr>
        <w:t>30</w:t>
      </w:r>
      <w:r w:rsidRPr="001027DC">
        <w:rPr>
          <w:rFonts w:ascii="Arial" w:eastAsia="宋体" w:hAnsi="Arial" w:cs="Arial"/>
          <w:kern w:val="0"/>
          <w:szCs w:val="21"/>
        </w:rPr>
        <w:t>克</w:t>
      </w:r>
      <w:proofErr w:type="gramEnd"/>
      <w:r w:rsidRPr="001027DC">
        <w:rPr>
          <w:rFonts w:ascii="Arial" w:eastAsia="宋体" w:hAnsi="Arial" w:cs="Arial"/>
          <w:kern w:val="0"/>
          <w:szCs w:val="21"/>
        </w:rPr>
        <w:t>／立方米的天然气。</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（三）三次采油资源税减征</w:t>
      </w:r>
      <w:r w:rsidRPr="001027DC">
        <w:rPr>
          <w:rFonts w:ascii="Arial" w:eastAsia="宋体" w:hAnsi="Arial" w:cs="Arial"/>
          <w:kern w:val="0"/>
          <w:szCs w:val="21"/>
        </w:rPr>
        <w:t>30%</w:t>
      </w:r>
      <w:r w:rsidRPr="001027DC">
        <w:rPr>
          <w:rFonts w:ascii="Arial" w:eastAsia="宋体" w:hAnsi="Arial" w:cs="Arial"/>
          <w:kern w:val="0"/>
          <w:szCs w:val="21"/>
        </w:rPr>
        <w:t>。</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三次采油，是指二次采油后继续以聚合物驱、复合驱、泡沫驱、</w:t>
      </w:r>
      <w:proofErr w:type="gramStart"/>
      <w:r w:rsidRPr="001027DC">
        <w:rPr>
          <w:rFonts w:ascii="Arial" w:eastAsia="宋体" w:hAnsi="Arial" w:cs="Arial"/>
          <w:kern w:val="0"/>
          <w:szCs w:val="21"/>
        </w:rPr>
        <w:t>气水</w:t>
      </w:r>
      <w:proofErr w:type="gramEnd"/>
      <w:r w:rsidRPr="001027DC">
        <w:rPr>
          <w:rFonts w:ascii="Arial" w:eastAsia="宋体" w:hAnsi="Arial" w:cs="Arial"/>
          <w:kern w:val="0"/>
          <w:szCs w:val="21"/>
        </w:rPr>
        <w:t>交替驱、二氧化碳驱、</w:t>
      </w:r>
      <w:proofErr w:type="gramStart"/>
      <w:r w:rsidRPr="001027DC">
        <w:rPr>
          <w:rFonts w:ascii="Arial" w:eastAsia="宋体" w:hAnsi="Arial" w:cs="Arial"/>
          <w:kern w:val="0"/>
          <w:szCs w:val="21"/>
        </w:rPr>
        <w:t>微生物驱等方式</w:t>
      </w:r>
      <w:proofErr w:type="gramEnd"/>
      <w:r w:rsidRPr="001027DC">
        <w:rPr>
          <w:rFonts w:ascii="Arial" w:eastAsia="宋体" w:hAnsi="Arial" w:cs="Arial"/>
          <w:kern w:val="0"/>
          <w:szCs w:val="21"/>
        </w:rPr>
        <w:t>进行采油。</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（四）低丰度油气田</w:t>
      </w:r>
      <w:proofErr w:type="gramStart"/>
      <w:r w:rsidRPr="001027DC">
        <w:rPr>
          <w:rFonts w:ascii="Arial" w:eastAsia="宋体" w:hAnsi="Arial" w:cs="Arial"/>
          <w:kern w:val="0"/>
          <w:szCs w:val="21"/>
        </w:rPr>
        <w:t>资源税暂减征</w:t>
      </w:r>
      <w:proofErr w:type="gramEnd"/>
      <w:r w:rsidRPr="001027DC">
        <w:rPr>
          <w:rFonts w:ascii="Arial" w:eastAsia="宋体" w:hAnsi="Arial" w:cs="Arial"/>
          <w:kern w:val="0"/>
          <w:szCs w:val="21"/>
        </w:rPr>
        <w:t>20%</w:t>
      </w:r>
      <w:r w:rsidRPr="001027DC">
        <w:rPr>
          <w:rFonts w:ascii="Arial" w:eastAsia="宋体" w:hAnsi="Arial" w:cs="Arial"/>
          <w:kern w:val="0"/>
          <w:szCs w:val="21"/>
        </w:rPr>
        <w:t>。</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低丰度油田，是指每平方公里原油可采储量丰度在</w:t>
      </w:r>
      <w:r w:rsidRPr="001027DC">
        <w:rPr>
          <w:rFonts w:ascii="Arial" w:eastAsia="宋体" w:hAnsi="Arial" w:cs="Arial"/>
          <w:kern w:val="0"/>
          <w:szCs w:val="21"/>
        </w:rPr>
        <w:t>25</w:t>
      </w:r>
      <w:r w:rsidRPr="001027DC">
        <w:rPr>
          <w:rFonts w:ascii="Arial" w:eastAsia="宋体" w:hAnsi="Arial" w:cs="Arial"/>
          <w:kern w:val="0"/>
          <w:szCs w:val="21"/>
        </w:rPr>
        <w:t>万立方米以下的油田。低丰度气田，是指每平方公里天然气可采储量丰度在</w:t>
      </w:r>
      <w:r w:rsidRPr="001027DC">
        <w:rPr>
          <w:rFonts w:ascii="Arial" w:eastAsia="宋体" w:hAnsi="Arial" w:cs="Arial"/>
          <w:kern w:val="0"/>
          <w:szCs w:val="21"/>
        </w:rPr>
        <w:t>2.5</w:t>
      </w:r>
      <w:r w:rsidRPr="001027DC">
        <w:rPr>
          <w:rFonts w:ascii="Arial" w:eastAsia="宋体" w:hAnsi="Arial" w:cs="Arial"/>
          <w:kern w:val="0"/>
          <w:szCs w:val="21"/>
        </w:rPr>
        <w:t>亿立方米以下的气田。</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（五）深水油气田资源税减征</w:t>
      </w:r>
      <w:r w:rsidRPr="001027DC">
        <w:rPr>
          <w:rFonts w:ascii="Arial" w:eastAsia="宋体" w:hAnsi="Arial" w:cs="Arial"/>
          <w:kern w:val="0"/>
          <w:szCs w:val="21"/>
        </w:rPr>
        <w:t>30%</w:t>
      </w:r>
      <w:r w:rsidRPr="001027DC">
        <w:rPr>
          <w:rFonts w:ascii="Arial" w:eastAsia="宋体" w:hAnsi="Arial" w:cs="Arial"/>
          <w:kern w:val="0"/>
          <w:szCs w:val="21"/>
        </w:rPr>
        <w:t>。</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深水油气田，是指水深超过</w:t>
      </w:r>
      <w:r w:rsidRPr="001027DC">
        <w:rPr>
          <w:rFonts w:ascii="Arial" w:eastAsia="宋体" w:hAnsi="Arial" w:cs="Arial"/>
          <w:kern w:val="0"/>
          <w:szCs w:val="21"/>
        </w:rPr>
        <w:t>300</w:t>
      </w:r>
      <w:r w:rsidRPr="001027DC">
        <w:rPr>
          <w:rFonts w:ascii="Arial" w:eastAsia="宋体" w:hAnsi="Arial" w:cs="Arial"/>
          <w:kern w:val="0"/>
          <w:szCs w:val="21"/>
        </w:rPr>
        <w:t>米（不含）的油气田。</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符合上述减免税规定的原油、天然气划分不清的，一律不予减免；同时符合上述两项及两项以上减税规定的，只能选择其中一项执行，不能叠加适用。</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财政部和国家税务总局可根据国家有关规定标准及实际情况的变化对上述政策进行调整。</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二、关于原油、天然气资源税优惠政策实施问题</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为便于征管，对开采稠油、高凝油、高含硫天然气、低丰度油气资源及三次采油的陆上油气田企业，根据以前年度</w:t>
      </w:r>
      <w:proofErr w:type="gramStart"/>
      <w:r w:rsidRPr="001027DC">
        <w:rPr>
          <w:rFonts w:ascii="Arial" w:eastAsia="宋体" w:hAnsi="Arial" w:cs="Arial"/>
          <w:kern w:val="0"/>
          <w:szCs w:val="21"/>
        </w:rPr>
        <w:t>符舍上述</w:t>
      </w:r>
      <w:proofErr w:type="gramEnd"/>
      <w:r w:rsidRPr="001027DC">
        <w:rPr>
          <w:rFonts w:ascii="Arial" w:eastAsia="宋体" w:hAnsi="Arial" w:cs="Arial"/>
          <w:kern w:val="0"/>
          <w:szCs w:val="21"/>
        </w:rPr>
        <w:t>减税规定的原油、天然气销售额占其原油、天然气总销售额的比例，确定资源</w:t>
      </w:r>
      <w:proofErr w:type="gramStart"/>
      <w:r w:rsidRPr="001027DC">
        <w:rPr>
          <w:rFonts w:ascii="Arial" w:eastAsia="宋体" w:hAnsi="Arial" w:cs="Arial"/>
          <w:kern w:val="0"/>
          <w:szCs w:val="21"/>
        </w:rPr>
        <w:t>税综合减征率</w:t>
      </w:r>
      <w:proofErr w:type="gramEnd"/>
      <w:r w:rsidRPr="001027DC">
        <w:rPr>
          <w:rFonts w:ascii="Arial" w:eastAsia="宋体" w:hAnsi="Arial" w:cs="Arial"/>
          <w:kern w:val="0"/>
          <w:szCs w:val="21"/>
        </w:rPr>
        <w:t>和实际征收率，计算资源税应纳税额。</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计算公式为：</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综合</w:t>
      </w:r>
      <w:proofErr w:type="gramStart"/>
      <w:r w:rsidRPr="001027DC">
        <w:rPr>
          <w:rFonts w:ascii="Arial" w:eastAsia="宋体" w:hAnsi="Arial" w:cs="Arial"/>
          <w:kern w:val="0"/>
          <w:szCs w:val="21"/>
        </w:rPr>
        <w:t>减征率</w:t>
      </w:r>
      <w:proofErr w:type="gramEnd"/>
      <w:r w:rsidRPr="001027DC">
        <w:rPr>
          <w:rFonts w:ascii="Arial" w:eastAsia="宋体" w:hAnsi="Arial" w:cs="Arial"/>
          <w:kern w:val="0"/>
          <w:szCs w:val="21"/>
        </w:rPr>
        <w:t>=∑</w:t>
      </w:r>
      <w:r w:rsidRPr="001027DC">
        <w:rPr>
          <w:rFonts w:ascii="Arial" w:eastAsia="宋体" w:hAnsi="Arial" w:cs="Arial"/>
          <w:kern w:val="0"/>
          <w:szCs w:val="21"/>
        </w:rPr>
        <w:t>（减税项目销售额</w:t>
      </w:r>
      <w:r w:rsidRPr="001027DC">
        <w:rPr>
          <w:rFonts w:ascii="Arial" w:eastAsia="宋体" w:hAnsi="Arial" w:cs="Arial"/>
          <w:kern w:val="0"/>
          <w:szCs w:val="21"/>
        </w:rPr>
        <w:t>×</w:t>
      </w:r>
      <w:r w:rsidRPr="001027DC">
        <w:rPr>
          <w:rFonts w:ascii="Arial" w:eastAsia="宋体" w:hAnsi="Arial" w:cs="Arial"/>
          <w:kern w:val="0"/>
          <w:szCs w:val="21"/>
        </w:rPr>
        <w:t>减征幅度</w:t>
      </w:r>
      <w:r w:rsidRPr="001027DC">
        <w:rPr>
          <w:rFonts w:ascii="Arial" w:eastAsia="宋体" w:hAnsi="Arial" w:cs="Arial"/>
          <w:kern w:val="0"/>
          <w:szCs w:val="21"/>
        </w:rPr>
        <w:t>×5%</w:t>
      </w:r>
      <w:r w:rsidRPr="001027DC">
        <w:rPr>
          <w:rFonts w:ascii="Arial" w:eastAsia="宋体" w:hAnsi="Arial" w:cs="Arial"/>
          <w:kern w:val="0"/>
          <w:szCs w:val="21"/>
        </w:rPr>
        <w:t>）</w:t>
      </w:r>
      <w:r w:rsidRPr="001027DC">
        <w:rPr>
          <w:rFonts w:ascii="Arial" w:eastAsia="宋体" w:hAnsi="Arial" w:cs="Arial"/>
          <w:kern w:val="0"/>
          <w:szCs w:val="21"/>
        </w:rPr>
        <w:t>÷</w:t>
      </w:r>
      <w:r w:rsidRPr="001027DC">
        <w:rPr>
          <w:rFonts w:ascii="Arial" w:eastAsia="宋体" w:hAnsi="Arial" w:cs="Arial"/>
          <w:kern w:val="0"/>
          <w:szCs w:val="21"/>
        </w:rPr>
        <w:t>总销售额</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实际征收率</w:t>
      </w:r>
      <w:r w:rsidRPr="001027DC">
        <w:rPr>
          <w:rFonts w:ascii="Arial" w:eastAsia="宋体" w:hAnsi="Arial" w:cs="Arial"/>
          <w:kern w:val="0"/>
          <w:szCs w:val="21"/>
        </w:rPr>
        <w:t>= 5% -</w:t>
      </w:r>
      <w:r w:rsidRPr="001027DC">
        <w:rPr>
          <w:rFonts w:ascii="Arial" w:eastAsia="宋体" w:hAnsi="Arial" w:cs="Arial"/>
          <w:kern w:val="0"/>
          <w:szCs w:val="21"/>
        </w:rPr>
        <w:t>综合减征率</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应纳税额</w:t>
      </w:r>
      <w:r w:rsidRPr="001027DC">
        <w:rPr>
          <w:rFonts w:ascii="Arial" w:eastAsia="宋体" w:hAnsi="Arial" w:cs="Arial"/>
          <w:kern w:val="0"/>
          <w:szCs w:val="21"/>
        </w:rPr>
        <w:t>=</w:t>
      </w:r>
      <w:r w:rsidRPr="001027DC">
        <w:rPr>
          <w:rFonts w:ascii="Arial" w:eastAsia="宋体" w:hAnsi="Arial" w:cs="Arial"/>
          <w:kern w:val="0"/>
          <w:szCs w:val="21"/>
        </w:rPr>
        <w:t>总销售额</w:t>
      </w:r>
      <w:r w:rsidRPr="001027DC">
        <w:rPr>
          <w:rFonts w:ascii="Arial" w:eastAsia="宋体" w:hAnsi="Arial" w:cs="Arial"/>
          <w:kern w:val="0"/>
          <w:szCs w:val="21"/>
        </w:rPr>
        <w:t>×</w:t>
      </w:r>
      <w:r w:rsidRPr="001027DC">
        <w:rPr>
          <w:rFonts w:ascii="Arial" w:eastAsia="宋体" w:hAnsi="Arial" w:cs="Arial"/>
          <w:kern w:val="0"/>
          <w:szCs w:val="21"/>
        </w:rPr>
        <w:t>实际征收率</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lastRenderedPageBreak/>
        <w:t>中国石油天然气集团公司和中国石油化工集团公司（以下简称中石油、中石化）陆上油气田企业的综合</w:t>
      </w:r>
      <w:proofErr w:type="gramStart"/>
      <w:r w:rsidRPr="001027DC">
        <w:rPr>
          <w:rFonts w:ascii="Arial" w:eastAsia="宋体" w:hAnsi="Arial" w:cs="Arial"/>
          <w:kern w:val="0"/>
          <w:szCs w:val="21"/>
        </w:rPr>
        <w:t>减征率</w:t>
      </w:r>
      <w:proofErr w:type="gramEnd"/>
      <w:r w:rsidRPr="001027DC">
        <w:rPr>
          <w:rFonts w:ascii="Arial" w:eastAsia="宋体" w:hAnsi="Arial" w:cs="Arial"/>
          <w:kern w:val="0"/>
          <w:szCs w:val="21"/>
        </w:rPr>
        <w:t>和实际征收率由财政部和国家税务总局确定，具体综合</w:t>
      </w:r>
      <w:proofErr w:type="gramStart"/>
      <w:r w:rsidRPr="001027DC">
        <w:rPr>
          <w:rFonts w:ascii="Arial" w:eastAsia="宋体" w:hAnsi="Arial" w:cs="Arial"/>
          <w:kern w:val="0"/>
          <w:szCs w:val="21"/>
        </w:rPr>
        <w:t>减征率</w:t>
      </w:r>
      <w:proofErr w:type="gramEnd"/>
      <w:r w:rsidRPr="001027DC">
        <w:rPr>
          <w:rFonts w:ascii="Arial" w:eastAsia="宋体" w:hAnsi="Arial" w:cs="Arial"/>
          <w:kern w:val="0"/>
          <w:szCs w:val="21"/>
        </w:rPr>
        <w:t>和实际征收率按本通知所附《全国陆上油气田企业原油天然气资源税实际征收率表》执行。今后财政部和国家税务总局将根据陆上油气田企业原油、天然气产品结构的实际变化情况进行调整。附件中未列举的中石油、中石化陆上对外合作油气田及全资和控股陆上油气田企业，比照附件中所列同一区域油气田企业的综合</w:t>
      </w:r>
      <w:proofErr w:type="gramStart"/>
      <w:r w:rsidRPr="001027DC">
        <w:rPr>
          <w:rFonts w:ascii="Arial" w:eastAsia="宋体" w:hAnsi="Arial" w:cs="Arial"/>
          <w:kern w:val="0"/>
          <w:szCs w:val="21"/>
        </w:rPr>
        <w:t>减征率</w:t>
      </w:r>
      <w:proofErr w:type="gramEnd"/>
      <w:r w:rsidRPr="001027DC">
        <w:rPr>
          <w:rFonts w:ascii="Arial" w:eastAsia="宋体" w:hAnsi="Arial" w:cs="Arial"/>
          <w:kern w:val="0"/>
          <w:szCs w:val="21"/>
        </w:rPr>
        <w:t>和实际征收率执行；其他陆上油气田企业的综合</w:t>
      </w:r>
      <w:proofErr w:type="gramStart"/>
      <w:r w:rsidRPr="001027DC">
        <w:rPr>
          <w:rFonts w:ascii="Arial" w:eastAsia="宋体" w:hAnsi="Arial" w:cs="Arial"/>
          <w:kern w:val="0"/>
          <w:szCs w:val="21"/>
        </w:rPr>
        <w:t>减征率</w:t>
      </w:r>
      <w:proofErr w:type="gramEnd"/>
      <w:r w:rsidRPr="001027DC">
        <w:rPr>
          <w:rFonts w:ascii="Arial" w:eastAsia="宋体" w:hAnsi="Arial" w:cs="Arial"/>
          <w:kern w:val="0"/>
          <w:szCs w:val="21"/>
        </w:rPr>
        <w:t>和实际征收率，暂比照附件中邻近油气田企业的综合</w:t>
      </w:r>
      <w:proofErr w:type="gramStart"/>
      <w:r w:rsidRPr="001027DC">
        <w:rPr>
          <w:rFonts w:ascii="Arial" w:eastAsia="宋体" w:hAnsi="Arial" w:cs="Arial"/>
          <w:kern w:val="0"/>
          <w:szCs w:val="21"/>
        </w:rPr>
        <w:t>减征率</w:t>
      </w:r>
      <w:proofErr w:type="gramEnd"/>
      <w:r w:rsidRPr="001027DC">
        <w:rPr>
          <w:rFonts w:ascii="Arial" w:eastAsia="宋体" w:hAnsi="Arial" w:cs="Arial"/>
          <w:kern w:val="0"/>
          <w:szCs w:val="21"/>
        </w:rPr>
        <w:t>和实际征收率执行。</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海上油气田开采符合本通知所列资源税优惠规定的原油、天然气，由主管税务机关据实计算资源税减征额。</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三、关于中外合作油气田及海上自营油气田资源税征收问题</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（一）开采海洋或陆上油气资源的中外合作油气田，在本通知实施前已签订的合同继续缴纳矿区使用费，不缴纳资源税；自本通知实施后新签订的合同缴纳资源税，不再缴纳矿区使用费。</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开采海洋油气资源的白营油气田，自本通知实施之日起统一缴纳资源税，不再缴纳矿区使用费。</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二）开采海洋或陆上油气资源的中外合作油气田，按实物量计算缴纳资源税，以该油气田开采的原油、天然气扣除作业用量和损耗量之后的原油、天然气产量作为计税依据。中外合作油气田的资源税由作业者负责代扣，申报缴纳事宜由参与合作的中国石油公司负责办理。计征的原油、天然气资源税实物随同中外合作油气田的原油、天然气一并销售，按实际销售额（不含增值，税）扣除其本身所发生的实际销售费用后入库。</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中国海洋石油总公司海上自营油气田比照上述规定执行。</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（三）海洋原油、天然气资源税由国家税务总局海洋石油税务管理局各分局负责征收管理。</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本通知自</w:t>
      </w:r>
      <w:r w:rsidRPr="001027DC">
        <w:rPr>
          <w:rFonts w:ascii="Arial" w:eastAsia="宋体" w:hAnsi="Arial" w:cs="Arial"/>
          <w:kern w:val="0"/>
          <w:szCs w:val="21"/>
        </w:rPr>
        <w:t>2011</w:t>
      </w:r>
      <w:r w:rsidRPr="001027DC">
        <w:rPr>
          <w:rFonts w:ascii="Arial" w:eastAsia="宋体" w:hAnsi="Arial" w:cs="Arial"/>
          <w:kern w:val="0"/>
          <w:szCs w:val="21"/>
        </w:rPr>
        <w:t>年</w:t>
      </w:r>
      <w:r w:rsidRPr="001027DC">
        <w:rPr>
          <w:rFonts w:ascii="Arial" w:eastAsia="宋体" w:hAnsi="Arial" w:cs="Arial"/>
          <w:kern w:val="0"/>
          <w:szCs w:val="21"/>
        </w:rPr>
        <w:t>11</w:t>
      </w:r>
      <w:r w:rsidRPr="001027DC">
        <w:rPr>
          <w:rFonts w:ascii="Arial" w:eastAsia="宋体" w:hAnsi="Arial" w:cs="Arial"/>
          <w:kern w:val="0"/>
          <w:szCs w:val="21"/>
        </w:rPr>
        <w:t>月</w:t>
      </w:r>
      <w:r w:rsidRPr="001027DC">
        <w:rPr>
          <w:rFonts w:ascii="Arial" w:eastAsia="宋体" w:hAnsi="Arial" w:cs="Arial"/>
          <w:kern w:val="0"/>
          <w:szCs w:val="21"/>
        </w:rPr>
        <w:t>1</w:t>
      </w:r>
      <w:r w:rsidRPr="001027DC">
        <w:rPr>
          <w:rFonts w:ascii="Arial" w:eastAsia="宋体" w:hAnsi="Arial" w:cs="Arial"/>
          <w:kern w:val="0"/>
          <w:szCs w:val="21"/>
        </w:rPr>
        <w:t>日起执行。</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附件：金国陆上油气田企业原油天然气资源税实际征收率表</w:t>
      </w:r>
    </w:p>
    <w:p w:rsidR="001027DC" w:rsidRDefault="001027DC" w:rsidP="001027DC">
      <w:pPr>
        <w:widowControl/>
        <w:jc w:val="left"/>
        <w:rPr>
          <w:rFonts w:ascii="Arial" w:eastAsia="宋体" w:hAnsi="Arial" w:cs="Arial" w:hint="eastAsia"/>
          <w:kern w:val="0"/>
          <w:szCs w:val="21"/>
        </w:rPr>
      </w:pPr>
      <w:r w:rsidRPr="001027DC">
        <w:rPr>
          <w:rFonts w:ascii="Arial" w:eastAsia="宋体" w:hAnsi="Arial" w:cs="Arial"/>
          <w:kern w:val="0"/>
          <w:szCs w:val="21"/>
        </w:rPr>
        <w:t>抄送：各省、自治区、直辖市、计划单列市（不含天津、上海、深圳、广东）国家税务局，财政部驻各省、自治区、直辖市、计划单列市财政监察专员办事处，中国石油天然气集团公司，中国石油化工集团公司，中国海洋石油总公司。</w:t>
      </w:r>
    </w:p>
    <w:p w:rsidR="00E64393" w:rsidRPr="001027DC" w:rsidRDefault="00E64393" w:rsidP="001027DC">
      <w:pPr>
        <w:widowControl/>
        <w:jc w:val="left"/>
        <w:rPr>
          <w:rFonts w:ascii="Arial" w:eastAsia="宋体" w:hAnsi="Arial" w:cs="Arial"/>
          <w:kern w:val="0"/>
          <w:sz w:val="18"/>
          <w:szCs w:val="18"/>
        </w:rPr>
      </w:pP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财政部办公厅</w:t>
      </w:r>
    </w:p>
    <w:p w:rsidR="001027DC" w:rsidRDefault="001027DC" w:rsidP="001027DC">
      <w:pPr>
        <w:widowControl/>
        <w:jc w:val="left"/>
        <w:rPr>
          <w:rFonts w:ascii="Arial" w:eastAsia="宋体" w:hAnsi="Arial" w:cs="Arial" w:hint="eastAsia"/>
          <w:kern w:val="0"/>
          <w:szCs w:val="21"/>
        </w:rPr>
      </w:pPr>
      <w:r w:rsidRPr="001027DC">
        <w:rPr>
          <w:rFonts w:ascii="Arial" w:eastAsia="宋体" w:hAnsi="Arial" w:cs="Arial"/>
          <w:kern w:val="0"/>
          <w:szCs w:val="21"/>
        </w:rPr>
        <w:t>2011</w:t>
      </w:r>
      <w:r w:rsidRPr="001027DC">
        <w:rPr>
          <w:rFonts w:ascii="Arial" w:eastAsia="宋体" w:hAnsi="Arial" w:cs="Arial"/>
          <w:kern w:val="0"/>
          <w:szCs w:val="21"/>
        </w:rPr>
        <w:t>年</w:t>
      </w:r>
      <w:r w:rsidRPr="001027DC">
        <w:rPr>
          <w:rFonts w:ascii="Arial" w:eastAsia="宋体" w:hAnsi="Arial" w:cs="Arial"/>
          <w:kern w:val="0"/>
          <w:szCs w:val="21"/>
        </w:rPr>
        <w:t>11</w:t>
      </w:r>
      <w:r w:rsidRPr="001027DC">
        <w:rPr>
          <w:rFonts w:ascii="Arial" w:eastAsia="宋体" w:hAnsi="Arial" w:cs="Arial"/>
          <w:kern w:val="0"/>
          <w:szCs w:val="21"/>
        </w:rPr>
        <w:t>月</w:t>
      </w:r>
      <w:r w:rsidRPr="001027DC">
        <w:rPr>
          <w:rFonts w:ascii="Arial" w:eastAsia="宋体" w:hAnsi="Arial" w:cs="Arial"/>
          <w:kern w:val="0"/>
          <w:szCs w:val="21"/>
        </w:rPr>
        <w:t>17</w:t>
      </w:r>
      <w:r w:rsidRPr="001027DC">
        <w:rPr>
          <w:rFonts w:ascii="Arial" w:eastAsia="宋体" w:hAnsi="Arial" w:cs="Arial"/>
          <w:kern w:val="0"/>
          <w:szCs w:val="21"/>
        </w:rPr>
        <w:t>日印发</w:t>
      </w:r>
    </w:p>
    <w:p w:rsidR="00E64393" w:rsidRPr="001027DC" w:rsidRDefault="00E64393" w:rsidP="001027DC">
      <w:pPr>
        <w:widowControl/>
        <w:jc w:val="left"/>
        <w:rPr>
          <w:rFonts w:ascii="Arial" w:eastAsia="宋体" w:hAnsi="Arial" w:cs="Arial"/>
          <w:kern w:val="0"/>
          <w:sz w:val="18"/>
          <w:szCs w:val="18"/>
        </w:rPr>
      </w:pP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附件：</w:t>
      </w:r>
    </w:p>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全国陆上油气田企业原油天然气资源税实际征收率表</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0"/>
        <w:gridCol w:w="3480"/>
        <w:gridCol w:w="1845"/>
        <w:gridCol w:w="1260"/>
        <w:gridCol w:w="1245"/>
      </w:tblGrid>
      <w:tr w:rsidR="001027DC" w:rsidRPr="001027DC" w:rsidTr="001027DC">
        <w:tc>
          <w:tcPr>
            <w:tcW w:w="6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序号</w:t>
            </w:r>
          </w:p>
        </w:tc>
        <w:tc>
          <w:tcPr>
            <w:tcW w:w="3480" w:type="dxa"/>
            <w:tcBorders>
              <w:top w:val="single" w:sz="2" w:space="0" w:color="000000"/>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油气田企业</w:t>
            </w:r>
          </w:p>
        </w:tc>
        <w:tc>
          <w:tcPr>
            <w:tcW w:w="1845" w:type="dxa"/>
            <w:tcBorders>
              <w:top w:val="single" w:sz="2" w:space="0" w:color="000000"/>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所在省份</w:t>
            </w:r>
          </w:p>
        </w:tc>
        <w:tc>
          <w:tcPr>
            <w:tcW w:w="1260" w:type="dxa"/>
            <w:tcBorders>
              <w:top w:val="single" w:sz="2" w:space="0" w:color="000000"/>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综合</w:t>
            </w:r>
            <w:proofErr w:type="gramStart"/>
            <w:r w:rsidRPr="001027DC">
              <w:rPr>
                <w:rFonts w:ascii="Arial" w:eastAsia="宋体" w:hAnsi="Arial" w:cs="Arial"/>
                <w:kern w:val="0"/>
                <w:szCs w:val="21"/>
              </w:rPr>
              <w:t>减征率</w:t>
            </w:r>
            <w:proofErr w:type="gramEnd"/>
          </w:p>
        </w:tc>
        <w:tc>
          <w:tcPr>
            <w:tcW w:w="1245" w:type="dxa"/>
            <w:tcBorders>
              <w:top w:val="single" w:sz="2" w:space="0" w:color="000000"/>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实际征收率</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大庆油田有限责任公司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黑龙江</w:t>
            </w:r>
            <w:r w:rsidRPr="001027DC">
              <w:rPr>
                <w:rFonts w:ascii="Arial" w:eastAsia="宋体" w:hAnsi="Arial" w:cs="Arial"/>
                <w:kern w:val="0"/>
                <w:szCs w:val="21"/>
              </w:rPr>
              <w:t> </w:t>
            </w:r>
            <w:r w:rsidRPr="001027DC">
              <w:rPr>
                <w:rFonts w:ascii="Arial" w:eastAsia="宋体" w:hAnsi="Arial" w:cs="Arial"/>
                <w:kern w:val="0"/>
                <w:szCs w:val="21"/>
              </w:rPr>
              <w:t>内蒙古</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0.65% </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4.35% </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2</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中国石油天然气股份有限公司辽河油田分公司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辽宁</w:t>
            </w:r>
            <w:r w:rsidRPr="001027DC">
              <w:rPr>
                <w:rFonts w:ascii="Arial" w:eastAsia="宋体" w:hAnsi="Arial" w:cs="Arial"/>
                <w:kern w:val="0"/>
                <w:szCs w:val="21"/>
              </w:rPr>
              <w:t> </w:t>
            </w:r>
            <w:r w:rsidRPr="001027DC">
              <w:rPr>
                <w:rFonts w:ascii="Arial" w:eastAsia="宋体" w:hAnsi="Arial" w:cs="Arial"/>
                <w:kern w:val="0"/>
                <w:szCs w:val="21"/>
              </w:rPr>
              <w:t>内蒙古</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1.20%</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3.80%</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3</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中国石油天然气股份有限公司吉林油田分公司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吉林</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0.86%</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4.14%</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中国石油天然气股份有限公司大港油田分公司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天津</w:t>
            </w:r>
            <w:r w:rsidRPr="001027DC">
              <w:rPr>
                <w:rFonts w:ascii="Arial" w:eastAsia="宋体" w:hAnsi="Arial" w:cs="Arial"/>
                <w:kern w:val="0"/>
                <w:szCs w:val="21"/>
              </w:rPr>
              <w:t> </w:t>
            </w:r>
            <w:r w:rsidRPr="001027DC">
              <w:rPr>
                <w:rFonts w:ascii="Arial" w:eastAsia="宋体" w:hAnsi="Arial" w:cs="Arial"/>
                <w:kern w:val="0"/>
                <w:szCs w:val="21"/>
              </w:rPr>
              <w:t>河北</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0.68%</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4.32%</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5</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中国石油天然气股份有限公司华北油田分公司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河北</w:t>
            </w:r>
            <w:r w:rsidRPr="001027DC">
              <w:rPr>
                <w:rFonts w:ascii="Arial" w:eastAsia="宋体" w:hAnsi="Arial" w:cs="Arial"/>
                <w:kern w:val="0"/>
                <w:szCs w:val="21"/>
              </w:rPr>
              <w:t> </w:t>
            </w:r>
            <w:r w:rsidRPr="001027DC">
              <w:rPr>
                <w:rFonts w:ascii="Arial" w:eastAsia="宋体" w:hAnsi="Arial" w:cs="Arial"/>
                <w:kern w:val="0"/>
                <w:szCs w:val="21"/>
              </w:rPr>
              <w:t>内蒙古</w:t>
            </w:r>
            <w:r w:rsidRPr="001027DC">
              <w:rPr>
                <w:rFonts w:ascii="Arial" w:eastAsia="宋体" w:hAnsi="Arial" w:cs="Arial"/>
                <w:kern w:val="0"/>
                <w:szCs w:val="21"/>
              </w:rPr>
              <w:t> </w:t>
            </w:r>
            <w:r w:rsidRPr="001027DC">
              <w:rPr>
                <w:rFonts w:ascii="Arial" w:eastAsia="宋体" w:hAnsi="Arial" w:cs="Arial"/>
                <w:kern w:val="0"/>
                <w:szCs w:val="21"/>
              </w:rPr>
              <w:t>山西</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0.91%</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4.09%</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lastRenderedPageBreak/>
              <w:t>6</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中国石油天然气股份有限公司冀东油田分公司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河北</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0.22%</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4.78%</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7</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中国石油天然气股份有限公司浙江油田分公司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江苏</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2%</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3%</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8</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南方石油勘探开发有限责任公司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广东</w:t>
            </w:r>
            <w:r w:rsidRPr="001027DC">
              <w:rPr>
                <w:rFonts w:ascii="Arial" w:eastAsia="宋体" w:hAnsi="Arial" w:cs="Arial"/>
                <w:kern w:val="0"/>
                <w:szCs w:val="21"/>
              </w:rPr>
              <w:t> </w:t>
            </w:r>
            <w:r w:rsidRPr="001027DC">
              <w:rPr>
                <w:rFonts w:ascii="Arial" w:eastAsia="宋体" w:hAnsi="Arial" w:cs="Arial"/>
                <w:kern w:val="0"/>
                <w:szCs w:val="21"/>
              </w:rPr>
              <w:t>海南</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5%</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9</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中国石油天然气股份有限公司西南油气田分公司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重庆</w:t>
            </w:r>
            <w:r w:rsidRPr="001027DC">
              <w:rPr>
                <w:rFonts w:ascii="Arial" w:eastAsia="宋体" w:hAnsi="Arial" w:cs="Arial"/>
                <w:kern w:val="0"/>
                <w:szCs w:val="21"/>
              </w:rPr>
              <w:t> </w:t>
            </w:r>
            <w:r w:rsidRPr="001027DC">
              <w:rPr>
                <w:rFonts w:ascii="Arial" w:eastAsia="宋体" w:hAnsi="Arial" w:cs="Arial"/>
                <w:kern w:val="0"/>
                <w:szCs w:val="21"/>
              </w:rPr>
              <w:t>四川</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0.57%</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4.43%</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10</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中国石油天然气股份有限公司长庆油田分公司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陕西</w:t>
            </w:r>
            <w:r w:rsidRPr="001027DC">
              <w:rPr>
                <w:rFonts w:ascii="Arial" w:eastAsia="宋体" w:hAnsi="Arial" w:cs="Arial"/>
                <w:kern w:val="0"/>
                <w:szCs w:val="21"/>
              </w:rPr>
              <w:t> </w:t>
            </w:r>
            <w:r w:rsidRPr="001027DC">
              <w:rPr>
                <w:rFonts w:ascii="Arial" w:eastAsia="宋体" w:hAnsi="Arial" w:cs="Arial"/>
                <w:kern w:val="0"/>
                <w:szCs w:val="21"/>
              </w:rPr>
              <w:t>甘肃</w:t>
            </w:r>
            <w:r w:rsidRPr="001027DC">
              <w:rPr>
                <w:rFonts w:ascii="Arial" w:eastAsia="宋体" w:hAnsi="Arial" w:cs="Arial"/>
                <w:kern w:val="0"/>
                <w:szCs w:val="21"/>
              </w:rPr>
              <w:t> </w:t>
            </w:r>
            <w:r w:rsidRPr="001027DC">
              <w:rPr>
                <w:rFonts w:ascii="Arial" w:eastAsia="宋体" w:hAnsi="Arial" w:cs="Arial"/>
                <w:kern w:val="0"/>
                <w:szCs w:val="21"/>
              </w:rPr>
              <w:t>宁夏</w:t>
            </w:r>
            <w:r w:rsidRPr="001027DC">
              <w:rPr>
                <w:rFonts w:ascii="Arial" w:eastAsia="宋体" w:hAnsi="Arial" w:cs="Arial"/>
                <w:kern w:val="0"/>
                <w:szCs w:val="21"/>
              </w:rPr>
              <w:t> </w:t>
            </w:r>
            <w:r w:rsidRPr="001027DC">
              <w:rPr>
                <w:rFonts w:ascii="Arial" w:eastAsia="宋体" w:hAnsi="Arial" w:cs="Arial"/>
                <w:kern w:val="0"/>
                <w:szCs w:val="21"/>
              </w:rPr>
              <w:t>内蒙古</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0.91%</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4.09%</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11</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中国石油天然气股份有限公司玉门油田分公司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甘肃</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0.03% </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4.97%</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12</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中国石油天然气股份有限公司青海油田分公司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青海</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0.33% </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4.67%</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13</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中国石油天然气股份有限公司新疆油田分公司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新疆</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0.37%</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4.63%</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14</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中国石油天然气股份有限公司塔里木油田分公同</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新疆</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0.04%</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4.96%</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15</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中国石油天然气股份有限公司吐哈油田分公司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新疆</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0.44%</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4.56%</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16</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中国石油化工股份有限公司胜利油田分公司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山东</w:t>
            </w:r>
            <w:r w:rsidRPr="001027DC">
              <w:rPr>
                <w:rFonts w:ascii="Arial" w:eastAsia="宋体" w:hAnsi="Arial" w:cs="Arial"/>
                <w:kern w:val="0"/>
                <w:szCs w:val="21"/>
              </w:rPr>
              <w:t> </w:t>
            </w:r>
            <w:r w:rsidRPr="001027DC">
              <w:rPr>
                <w:rFonts w:ascii="Arial" w:eastAsia="宋体" w:hAnsi="Arial" w:cs="Arial"/>
                <w:kern w:val="0"/>
                <w:szCs w:val="21"/>
              </w:rPr>
              <w:t>新疆</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1.20%</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3.80%</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17</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中国石油化工股份有限公司中原油田分公司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河南</w:t>
            </w:r>
            <w:r w:rsidRPr="001027DC">
              <w:rPr>
                <w:rFonts w:ascii="Arial" w:eastAsia="宋体" w:hAnsi="Arial" w:cs="Arial"/>
                <w:kern w:val="0"/>
                <w:szCs w:val="21"/>
              </w:rPr>
              <w:t> </w:t>
            </w:r>
            <w:r w:rsidRPr="001027DC">
              <w:rPr>
                <w:rFonts w:ascii="Arial" w:eastAsia="宋体" w:hAnsi="Arial" w:cs="Arial"/>
                <w:kern w:val="0"/>
                <w:szCs w:val="21"/>
              </w:rPr>
              <w:t>山东</w:t>
            </w:r>
            <w:r w:rsidRPr="001027DC">
              <w:rPr>
                <w:rFonts w:ascii="Arial" w:eastAsia="宋体" w:hAnsi="Arial" w:cs="Arial"/>
                <w:kern w:val="0"/>
                <w:szCs w:val="21"/>
              </w:rPr>
              <w:t> </w:t>
            </w:r>
            <w:r w:rsidRPr="001027DC">
              <w:rPr>
                <w:rFonts w:ascii="Arial" w:eastAsia="宋体" w:hAnsi="Arial" w:cs="Arial"/>
                <w:kern w:val="0"/>
                <w:szCs w:val="21"/>
              </w:rPr>
              <w:t>内蒙古</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18</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中国石油化工股份有限公司河南油田分公司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河南</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1.31%</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3.69%</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19</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中国石油化工股份有限公司江汉油田分公司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湖北</w:t>
            </w:r>
            <w:r w:rsidRPr="001027DC">
              <w:rPr>
                <w:rFonts w:ascii="Arial" w:eastAsia="宋体" w:hAnsi="Arial" w:cs="Arial"/>
                <w:kern w:val="0"/>
                <w:szCs w:val="21"/>
              </w:rPr>
              <w:t> </w:t>
            </w:r>
            <w:r w:rsidRPr="001027DC">
              <w:rPr>
                <w:rFonts w:ascii="Arial" w:eastAsia="宋体" w:hAnsi="Arial" w:cs="Arial"/>
                <w:kern w:val="0"/>
                <w:szCs w:val="21"/>
              </w:rPr>
              <w:t>重庆</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0.51%</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4.49%</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20</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中国石油化工股份有限公司江苏油田分公司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江苏</w:t>
            </w:r>
            <w:r w:rsidRPr="001027DC">
              <w:rPr>
                <w:rFonts w:ascii="Arial" w:eastAsia="宋体" w:hAnsi="Arial" w:cs="Arial"/>
                <w:kern w:val="0"/>
                <w:szCs w:val="21"/>
              </w:rPr>
              <w:t>  </w:t>
            </w:r>
            <w:r w:rsidRPr="001027DC">
              <w:rPr>
                <w:rFonts w:ascii="Arial" w:eastAsia="宋体" w:hAnsi="Arial" w:cs="Arial"/>
                <w:kern w:val="0"/>
                <w:szCs w:val="21"/>
              </w:rPr>
              <w:t>安徽</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0.28%</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4.72%</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21</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中国石油化工股份有限公司西北油田分公司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新疆</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1.80% </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3.20%</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22</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中国石油化工股份有限公司西南油气分公司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四川</w:t>
            </w:r>
            <w:r w:rsidRPr="001027DC">
              <w:rPr>
                <w:rFonts w:ascii="Arial" w:eastAsia="宋体" w:hAnsi="Arial" w:cs="Arial"/>
                <w:kern w:val="0"/>
                <w:szCs w:val="21"/>
              </w:rPr>
              <w:t> </w:t>
            </w:r>
            <w:r w:rsidRPr="001027DC">
              <w:rPr>
                <w:rFonts w:ascii="Arial" w:eastAsia="宋体" w:hAnsi="Arial" w:cs="Arial"/>
                <w:kern w:val="0"/>
                <w:szCs w:val="21"/>
              </w:rPr>
              <w:t>云南</w:t>
            </w:r>
            <w:r w:rsidRPr="001027DC">
              <w:rPr>
                <w:rFonts w:ascii="Arial" w:eastAsia="宋体" w:hAnsi="Arial" w:cs="Arial"/>
                <w:kern w:val="0"/>
                <w:szCs w:val="21"/>
              </w:rPr>
              <w:t> </w:t>
            </w:r>
            <w:r w:rsidRPr="001027DC">
              <w:rPr>
                <w:rFonts w:ascii="Arial" w:eastAsia="宋体" w:hAnsi="Arial" w:cs="Arial"/>
                <w:kern w:val="0"/>
                <w:szCs w:val="21"/>
              </w:rPr>
              <w:t>贵州</w:t>
            </w:r>
            <w:r w:rsidRPr="001027DC">
              <w:rPr>
                <w:rFonts w:ascii="Arial" w:eastAsia="宋体" w:hAnsi="Arial" w:cs="Arial"/>
                <w:kern w:val="0"/>
                <w:szCs w:val="21"/>
              </w:rPr>
              <w:t> </w:t>
            </w:r>
            <w:r w:rsidRPr="001027DC">
              <w:rPr>
                <w:rFonts w:ascii="Arial" w:eastAsia="宋体" w:hAnsi="Arial" w:cs="Arial"/>
                <w:kern w:val="0"/>
                <w:szCs w:val="21"/>
              </w:rPr>
              <w:t>广西</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23</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中国石油化工股份有限公司华东分公司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江苏</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0.81%</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4.19% </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24</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中国石油化工股份有限公司华北分公司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陕西</w:t>
            </w:r>
            <w:r w:rsidRPr="001027DC">
              <w:rPr>
                <w:rFonts w:ascii="Arial" w:eastAsia="宋体" w:hAnsi="Arial" w:cs="Arial"/>
                <w:kern w:val="0"/>
                <w:szCs w:val="21"/>
              </w:rPr>
              <w:t> </w:t>
            </w:r>
            <w:r w:rsidRPr="001027DC">
              <w:rPr>
                <w:rFonts w:ascii="Arial" w:eastAsia="宋体" w:hAnsi="Arial" w:cs="Arial"/>
                <w:kern w:val="0"/>
                <w:szCs w:val="21"/>
              </w:rPr>
              <w:t>甘肃</w:t>
            </w:r>
            <w:r w:rsidRPr="001027DC">
              <w:rPr>
                <w:rFonts w:ascii="Arial" w:eastAsia="宋体" w:hAnsi="Arial" w:cs="Arial"/>
                <w:kern w:val="0"/>
                <w:szCs w:val="21"/>
              </w:rPr>
              <w:t> </w:t>
            </w:r>
            <w:r w:rsidRPr="001027DC">
              <w:rPr>
                <w:rFonts w:ascii="Arial" w:eastAsia="宋体" w:hAnsi="Arial" w:cs="Arial"/>
                <w:kern w:val="0"/>
                <w:szCs w:val="21"/>
              </w:rPr>
              <w:t>宁夏</w:t>
            </w:r>
            <w:r w:rsidRPr="001027DC">
              <w:rPr>
                <w:rFonts w:ascii="Arial" w:eastAsia="宋体" w:hAnsi="Arial" w:cs="Arial"/>
                <w:kern w:val="0"/>
                <w:szCs w:val="21"/>
              </w:rPr>
              <w:t> </w:t>
            </w:r>
            <w:r w:rsidRPr="001027DC">
              <w:rPr>
                <w:rFonts w:ascii="Arial" w:eastAsia="宋体" w:hAnsi="Arial" w:cs="Arial"/>
                <w:kern w:val="0"/>
                <w:szCs w:val="21"/>
              </w:rPr>
              <w:t>内蒙古</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1%</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25</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中国石油化工股份有限公司东北油气分公司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吉林</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0.44%</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4.56% </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26</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中国石油化工股份有限公司中原油田普光分公司</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四川</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2%</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3%</w:t>
            </w:r>
          </w:p>
        </w:tc>
      </w:tr>
      <w:tr w:rsidR="001027DC" w:rsidRPr="001027DC" w:rsidTr="001027DC">
        <w:tc>
          <w:tcPr>
            <w:tcW w:w="660" w:type="dxa"/>
            <w:tcBorders>
              <w:top w:val="nil"/>
              <w:left w:val="single" w:sz="2" w:space="0" w:color="000000"/>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27</w:t>
            </w:r>
          </w:p>
        </w:tc>
        <w:tc>
          <w:tcPr>
            <w:tcW w:w="348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中国石油化工股份有限公司河南油田分公司新疆勘探开发中心</w:t>
            </w:r>
          </w:p>
        </w:tc>
        <w:tc>
          <w:tcPr>
            <w:tcW w:w="18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新疆</w:t>
            </w:r>
          </w:p>
        </w:tc>
        <w:tc>
          <w:tcPr>
            <w:tcW w:w="1260"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0</w:t>
            </w:r>
          </w:p>
        </w:tc>
        <w:tc>
          <w:tcPr>
            <w:tcW w:w="1245" w:type="dxa"/>
            <w:tcBorders>
              <w:top w:val="nil"/>
              <w:left w:val="nil"/>
              <w:bottom w:val="single" w:sz="2" w:space="0" w:color="000000"/>
              <w:right w:val="single" w:sz="2" w:space="0" w:color="000000"/>
            </w:tcBorders>
            <w:tcMar>
              <w:top w:w="0" w:type="dxa"/>
              <w:left w:w="105" w:type="dxa"/>
              <w:bottom w:w="0" w:type="dxa"/>
              <w:right w:w="105" w:type="dxa"/>
            </w:tcMar>
            <w:hideMark/>
          </w:tcPr>
          <w:p w:rsidR="001027DC" w:rsidRPr="001027DC" w:rsidRDefault="001027DC" w:rsidP="001027DC">
            <w:pPr>
              <w:widowControl/>
              <w:jc w:val="left"/>
              <w:rPr>
                <w:rFonts w:ascii="Arial" w:eastAsia="宋体" w:hAnsi="Arial" w:cs="Arial"/>
                <w:kern w:val="0"/>
                <w:sz w:val="18"/>
                <w:szCs w:val="18"/>
              </w:rPr>
            </w:pPr>
            <w:r w:rsidRPr="001027DC">
              <w:rPr>
                <w:rFonts w:ascii="Arial" w:eastAsia="宋体" w:hAnsi="Arial" w:cs="Arial"/>
                <w:kern w:val="0"/>
                <w:szCs w:val="21"/>
              </w:rPr>
              <w:t>5%</w:t>
            </w:r>
          </w:p>
        </w:tc>
      </w:tr>
    </w:tbl>
    <w:p w:rsidR="0038437F" w:rsidRDefault="0038437F"/>
    <w:sectPr w:rsidR="00384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CA"/>
    <w:rsid w:val="001027DC"/>
    <w:rsid w:val="0038437F"/>
    <w:rsid w:val="00596BCA"/>
    <w:rsid w:val="00764A2A"/>
    <w:rsid w:val="00E6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27DC"/>
    <w:pPr>
      <w:widowControl/>
      <w:spacing w:before="100" w:beforeAutospacing="1" w:after="100" w:afterAutospacing="1"/>
      <w:jc w:val="left"/>
    </w:pPr>
    <w:rPr>
      <w:rFonts w:ascii="宋体" w:eastAsia="宋体" w:hAnsi="宋体" w:cs="宋体"/>
      <w:kern w:val="0"/>
      <w:sz w:val="24"/>
      <w:szCs w:val="24"/>
    </w:rPr>
  </w:style>
  <w:style w:type="paragraph" w:customStyle="1" w:styleId="tit1">
    <w:name w:val="tit1"/>
    <w:basedOn w:val="a"/>
    <w:rsid w:val="001027D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27DC"/>
    <w:pPr>
      <w:widowControl/>
      <w:spacing w:before="100" w:beforeAutospacing="1" w:after="100" w:afterAutospacing="1"/>
      <w:jc w:val="left"/>
    </w:pPr>
    <w:rPr>
      <w:rFonts w:ascii="宋体" w:eastAsia="宋体" w:hAnsi="宋体" w:cs="宋体"/>
      <w:kern w:val="0"/>
      <w:sz w:val="24"/>
      <w:szCs w:val="24"/>
    </w:rPr>
  </w:style>
  <w:style w:type="paragraph" w:customStyle="1" w:styleId="tit1">
    <w:name w:val="tit1"/>
    <w:basedOn w:val="a"/>
    <w:rsid w:val="001027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99920">
      <w:bodyDiv w:val="1"/>
      <w:marLeft w:val="0"/>
      <w:marRight w:val="0"/>
      <w:marTop w:val="0"/>
      <w:marBottom w:val="0"/>
      <w:divBdr>
        <w:top w:val="none" w:sz="0" w:space="0" w:color="auto"/>
        <w:left w:val="none" w:sz="0" w:space="0" w:color="auto"/>
        <w:bottom w:val="none" w:sz="0" w:space="0" w:color="auto"/>
        <w:right w:val="none" w:sz="0" w:space="0" w:color="auto"/>
      </w:divBdr>
      <w:divsChild>
        <w:div w:id="237254604">
          <w:marLeft w:val="0"/>
          <w:marRight w:val="0"/>
          <w:marTop w:val="0"/>
          <w:marBottom w:val="0"/>
          <w:divBdr>
            <w:top w:val="none" w:sz="0" w:space="0" w:color="auto"/>
            <w:left w:val="none" w:sz="0" w:space="0" w:color="auto"/>
            <w:bottom w:val="none" w:sz="0" w:space="0" w:color="auto"/>
            <w:right w:val="none" w:sz="0" w:space="0" w:color="auto"/>
          </w:divBdr>
          <w:divsChild>
            <w:div w:id="889653195">
              <w:marLeft w:val="0"/>
              <w:marRight w:val="0"/>
              <w:marTop w:val="0"/>
              <w:marBottom w:val="0"/>
              <w:divBdr>
                <w:top w:val="none" w:sz="0" w:space="0" w:color="auto"/>
                <w:left w:val="none" w:sz="0" w:space="0" w:color="auto"/>
                <w:bottom w:val="none" w:sz="0" w:space="0" w:color="auto"/>
                <w:right w:val="none" w:sz="0" w:space="0" w:color="auto"/>
              </w:divBdr>
              <w:divsChild>
                <w:div w:id="2093503455">
                  <w:marLeft w:val="0"/>
                  <w:marRight w:val="0"/>
                  <w:marTop w:val="0"/>
                  <w:marBottom w:val="0"/>
                  <w:divBdr>
                    <w:top w:val="none" w:sz="0" w:space="0" w:color="auto"/>
                    <w:left w:val="none" w:sz="0" w:space="0" w:color="auto"/>
                    <w:bottom w:val="none" w:sz="0" w:space="0" w:color="auto"/>
                    <w:right w:val="none" w:sz="0" w:space="0" w:color="auto"/>
                  </w:divBdr>
                  <w:divsChild>
                    <w:div w:id="2044359441">
                      <w:marLeft w:val="0"/>
                      <w:marRight w:val="0"/>
                      <w:marTop w:val="0"/>
                      <w:marBottom w:val="0"/>
                      <w:divBdr>
                        <w:top w:val="none" w:sz="0" w:space="0" w:color="auto"/>
                        <w:left w:val="none" w:sz="0" w:space="0" w:color="auto"/>
                        <w:bottom w:val="none" w:sz="0" w:space="0" w:color="auto"/>
                        <w:right w:val="none" w:sz="0" w:space="0" w:color="auto"/>
                      </w:divBdr>
                      <w:divsChild>
                        <w:div w:id="964239395">
                          <w:marLeft w:val="0"/>
                          <w:marRight w:val="0"/>
                          <w:marTop w:val="0"/>
                          <w:marBottom w:val="0"/>
                          <w:divBdr>
                            <w:top w:val="none" w:sz="0" w:space="0" w:color="auto"/>
                            <w:left w:val="none" w:sz="0" w:space="0" w:color="auto"/>
                            <w:bottom w:val="none" w:sz="0" w:space="0" w:color="auto"/>
                            <w:right w:val="none" w:sz="0" w:space="0" w:color="auto"/>
                          </w:divBdr>
                          <w:divsChild>
                            <w:div w:id="1526552610">
                              <w:marLeft w:val="0"/>
                              <w:marRight w:val="0"/>
                              <w:marTop w:val="0"/>
                              <w:marBottom w:val="0"/>
                              <w:divBdr>
                                <w:top w:val="none" w:sz="0" w:space="0" w:color="auto"/>
                                <w:left w:val="none" w:sz="0" w:space="0" w:color="auto"/>
                                <w:bottom w:val="none" w:sz="0" w:space="0" w:color="auto"/>
                                <w:right w:val="none" w:sz="0" w:space="0" w:color="auto"/>
                              </w:divBdr>
                              <w:divsChild>
                                <w:div w:id="1636061435">
                                  <w:marLeft w:val="0"/>
                                  <w:marRight w:val="0"/>
                                  <w:marTop w:val="0"/>
                                  <w:marBottom w:val="0"/>
                                  <w:divBdr>
                                    <w:top w:val="none" w:sz="0" w:space="0" w:color="auto"/>
                                    <w:left w:val="none" w:sz="0" w:space="0" w:color="auto"/>
                                    <w:bottom w:val="none" w:sz="0" w:space="0" w:color="auto"/>
                                    <w:right w:val="none" w:sz="0" w:space="0" w:color="auto"/>
                                  </w:divBdr>
                                  <w:divsChild>
                                    <w:div w:id="1891964965">
                                      <w:marLeft w:val="0"/>
                                      <w:marRight w:val="0"/>
                                      <w:marTop w:val="0"/>
                                      <w:marBottom w:val="0"/>
                                      <w:divBdr>
                                        <w:top w:val="none" w:sz="0" w:space="0" w:color="auto"/>
                                        <w:left w:val="none" w:sz="0" w:space="0" w:color="auto"/>
                                        <w:bottom w:val="none" w:sz="0" w:space="0" w:color="auto"/>
                                        <w:right w:val="none" w:sz="0" w:space="0" w:color="auto"/>
                                      </w:divBdr>
                                      <w:divsChild>
                                        <w:div w:id="287900640">
                                          <w:marLeft w:val="0"/>
                                          <w:marRight w:val="0"/>
                                          <w:marTop w:val="0"/>
                                          <w:marBottom w:val="0"/>
                                          <w:divBdr>
                                            <w:top w:val="none" w:sz="0" w:space="0" w:color="auto"/>
                                            <w:left w:val="none" w:sz="0" w:space="0" w:color="auto"/>
                                            <w:bottom w:val="none" w:sz="0" w:space="0" w:color="auto"/>
                                            <w:right w:val="none" w:sz="0" w:space="0" w:color="auto"/>
                                          </w:divBdr>
                                        </w:div>
                                        <w:div w:id="174737296">
                                          <w:marLeft w:val="0"/>
                                          <w:marRight w:val="0"/>
                                          <w:marTop w:val="0"/>
                                          <w:marBottom w:val="0"/>
                                          <w:divBdr>
                                            <w:top w:val="none" w:sz="0" w:space="0" w:color="auto"/>
                                            <w:left w:val="none" w:sz="0" w:space="0" w:color="auto"/>
                                            <w:bottom w:val="none" w:sz="0" w:space="0" w:color="auto"/>
                                            <w:right w:val="none" w:sz="0" w:space="0" w:color="auto"/>
                                          </w:divBdr>
                                          <w:divsChild>
                                            <w:div w:id="600067047">
                                              <w:marLeft w:val="0"/>
                                              <w:marRight w:val="0"/>
                                              <w:marTop w:val="0"/>
                                              <w:marBottom w:val="0"/>
                                              <w:divBdr>
                                                <w:top w:val="none" w:sz="0" w:space="0" w:color="auto"/>
                                                <w:left w:val="none" w:sz="0" w:space="0" w:color="auto"/>
                                                <w:bottom w:val="none" w:sz="0" w:space="0" w:color="auto"/>
                                                <w:right w:val="none" w:sz="0" w:space="0" w:color="auto"/>
                                              </w:divBdr>
                                            </w:div>
                                          </w:divsChild>
                                        </w:div>
                                        <w:div w:id="1101755306">
                                          <w:marLeft w:val="0"/>
                                          <w:marRight w:val="0"/>
                                          <w:marTop w:val="0"/>
                                          <w:marBottom w:val="0"/>
                                          <w:divBdr>
                                            <w:top w:val="none" w:sz="0" w:space="0" w:color="auto"/>
                                            <w:left w:val="none" w:sz="0" w:space="0" w:color="auto"/>
                                            <w:bottom w:val="none" w:sz="0" w:space="0" w:color="auto"/>
                                            <w:right w:val="none" w:sz="0" w:space="0" w:color="auto"/>
                                          </w:divBdr>
                                          <w:divsChild>
                                            <w:div w:id="537820838">
                                              <w:marLeft w:val="0"/>
                                              <w:marRight w:val="0"/>
                                              <w:marTop w:val="0"/>
                                              <w:marBottom w:val="0"/>
                                              <w:divBdr>
                                                <w:top w:val="none" w:sz="0" w:space="0" w:color="auto"/>
                                                <w:left w:val="none" w:sz="0" w:space="0" w:color="auto"/>
                                                <w:bottom w:val="none" w:sz="0" w:space="0" w:color="auto"/>
                                                <w:right w:val="none" w:sz="0" w:space="0" w:color="auto"/>
                                              </w:divBdr>
                                              <w:divsChild>
                                                <w:div w:id="2033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447</Words>
  <Characters>2548</Characters>
  <Application>Microsoft Office Word</Application>
  <DocSecurity>0</DocSecurity>
  <Lines>21</Lines>
  <Paragraphs>5</Paragraphs>
  <ScaleCrop>false</ScaleCrop>
  <Company>微软中国</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2013-08-16T06:03:00Z</dcterms:created>
  <dcterms:modified xsi:type="dcterms:W3CDTF">2013-09-09T07:50:00Z</dcterms:modified>
</cp:coreProperties>
</file>