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B9" w:rsidRDefault="00FA76B9" w:rsidP="00FA76B9">
      <w:pPr>
        <w:pStyle w:val="a5"/>
        <w:spacing w:line="379" w:lineRule="auto"/>
        <w:jc w:val="center"/>
        <w:rPr>
          <w:rFonts w:ascii="Arial" w:hAnsi="Arial" w:cs="Arial"/>
          <w:color w:val="454545"/>
          <w:sz w:val="18"/>
          <w:szCs w:val="18"/>
        </w:rPr>
      </w:pPr>
      <w:r>
        <w:rPr>
          <w:rFonts w:ascii="Arial" w:hAnsi="Arial" w:cs="Arial"/>
          <w:color w:val="FF0000"/>
        </w:rPr>
        <w:t>财政部</w:t>
      </w:r>
      <w:r>
        <w:rPr>
          <w:rFonts w:ascii="Arial" w:hAnsi="Arial" w:cs="Arial"/>
          <w:color w:val="FF0000"/>
        </w:rPr>
        <w:t xml:space="preserve"> </w:t>
      </w:r>
      <w:r>
        <w:rPr>
          <w:rFonts w:ascii="Arial" w:hAnsi="Arial" w:cs="Arial"/>
          <w:color w:val="FF0000"/>
        </w:rPr>
        <w:t>国家税务总局</w:t>
      </w:r>
      <w:r>
        <w:rPr>
          <w:rFonts w:ascii="Arial" w:hAnsi="Arial" w:cs="Arial"/>
          <w:color w:val="FF0000"/>
        </w:rPr>
        <w:t xml:space="preserve"> </w:t>
      </w:r>
      <w:r>
        <w:rPr>
          <w:rFonts w:ascii="Arial" w:hAnsi="Arial" w:cs="Arial"/>
          <w:color w:val="FF0000"/>
        </w:rPr>
        <w:t>工业和信息化部关于不属于车船税征收范围的纯电动燃料电池乘用车车型目录（第二批）的公告</w:t>
      </w:r>
      <w:bookmarkStart w:id="0" w:name="_GoBack"/>
      <w:bookmarkEnd w:id="0"/>
    </w:p>
    <w:p w:rsidR="00FA76B9" w:rsidRDefault="00FA76B9" w:rsidP="00FA76B9">
      <w:pPr>
        <w:pStyle w:val="a5"/>
        <w:spacing w:line="379" w:lineRule="auto"/>
        <w:jc w:val="center"/>
        <w:rPr>
          <w:rFonts w:ascii="Arial" w:hAnsi="Arial" w:cs="Arial"/>
          <w:color w:val="454545"/>
          <w:sz w:val="18"/>
          <w:szCs w:val="18"/>
        </w:rPr>
      </w:pPr>
      <w:r>
        <w:rPr>
          <w:rFonts w:ascii="Arial" w:hAnsi="Arial" w:cs="Arial"/>
          <w:color w:val="0000FF"/>
          <w:sz w:val="20"/>
          <w:szCs w:val="20"/>
        </w:rPr>
        <w:t>财政部</w:t>
      </w:r>
      <w:r>
        <w:rPr>
          <w:rFonts w:ascii="Arial" w:hAnsi="Arial" w:cs="Arial"/>
          <w:color w:val="0000FF"/>
          <w:sz w:val="20"/>
          <w:szCs w:val="20"/>
        </w:rPr>
        <w:t xml:space="preserve"> </w:t>
      </w:r>
      <w:r>
        <w:rPr>
          <w:rFonts w:ascii="Arial" w:hAnsi="Arial" w:cs="Arial"/>
          <w:color w:val="0000FF"/>
          <w:sz w:val="20"/>
          <w:szCs w:val="20"/>
        </w:rPr>
        <w:t>国家税务总局工业和信息化部公告</w:t>
      </w:r>
      <w:r>
        <w:rPr>
          <w:rFonts w:ascii="Arial" w:hAnsi="Arial" w:cs="Arial"/>
          <w:color w:val="0000FF"/>
          <w:sz w:val="20"/>
          <w:szCs w:val="20"/>
        </w:rPr>
        <w:t>2012</w:t>
      </w:r>
      <w:r>
        <w:rPr>
          <w:rFonts w:ascii="Arial" w:hAnsi="Arial" w:cs="Arial"/>
          <w:color w:val="0000FF"/>
          <w:sz w:val="20"/>
          <w:szCs w:val="20"/>
        </w:rPr>
        <w:t>年第</w:t>
      </w:r>
      <w:r>
        <w:rPr>
          <w:rFonts w:ascii="Arial" w:hAnsi="Arial" w:cs="Arial"/>
          <w:color w:val="0000FF"/>
          <w:sz w:val="20"/>
          <w:szCs w:val="20"/>
        </w:rPr>
        <w:t>26</w:t>
      </w:r>
      <w:r>
        <w:rPr>
          <w:rFonts w:ascii="Arial" w:hAnsi="Arial" w:cs="Arial"/>
          <w:color w:val="0000FF"/>
          <w:sz w:val="20"/>
          <w:szCs w:val="20"/>
        </w:rPr>
        <w:t>号</w:t>
      </w:r>
      <w:r>
        <w:rPr>
          <w:rFonts w:ascii="Arial" w:hAnsi="Arial" w:cs="Arial"/>
          <w:color w:val="454545"/>
          <w:sz w:val="20"/>
          <w:szCs w:val="20"/>
        </w:rPr>
        <w:t>                         2012.5.28</w:t>
      </w:r>
    </w:p>
    <w:p w:rsidR="00FA76B9" w:rsidRDefault="00FA76B9" w:rsidP="00FA76B9">
      <w:pPr>
        <w:pStyle w:val="a5"/>
        <w:spacing w:line="379" w:lineRule="auto"/>
        <w:rPr>
          <w:rFonts w:ascii="Arial" w:hAnsi="Arial" w:cs="Arial"/>
          <w:color w:val="454545"/>
          <w:sz w:val="18"/>
          <w:szCs w:val="18"/>
        </w:rPr>
      </w:pPr>
      <w:r>
        <w:rPr>
          <w:rFonts w:ascii="Arial" w:hAnsi="Arial" w:cs="Arial"/>
          <w:color w:val="454545"/>
          <w:sz w:val="20"/>
          <w:szCs w:val="20"/>
        </w:rPr>
        <w:t>根据《中华人民共和国车船税法》有关规定，纯电动、燃料电池乘用车不属于车船税征收范围。</w:t>
      </w:r>
    </w:p>
    <w:p w:rsidR="00FA76B9" w:rsidRDefault="00FA76B9" w:rsidP="00FA76B9">
      <w:pPr>
        <w:pStyle w:val="a5"/>
        <w:spacing w:line="379" w:lineRule="auto"/>
        <w:rPr>
          <w:rFonts w:ascii="Arial" w:hAnsi="Arial" w:cs="Arial"/>
          <w:color w:val="454545"/>
          <w:sz w:val="18"/>
          <w:szCs w:val="18"/>
        </w:rPr>
      </w:pPr>
      <w:r>
        <w:rPr>
          <w:rFonts w:ascii="Arial" w:hAnsi="Arial" w:cs="Arial"/>
          <w:color w:val="454545"/>
          <w:sz w:val="20"/>
          <w:szCs w:val="20"/>
        </w:rPr>
        <w:t>为维护纳税人的合法权益，便于税务机关和扣缴义务人准确掌握政策，现将第二批不属于车船税征收范围的纯电动、燃料电池乘用车车型目录予以公告。</w:t>
      </w:r>
      <w:r>
        <w:rPr>
          <w:rFonts w:ascii="Arial" w:hAnsi="Arial" w:cs="Arial"/>
          <w:color w:val="454545"/>
          <w:sz w:val="20"/>
          <w:szCs w:val="20"/>
        </w:rPr>
        <w:br/>
      </w:r>
      <w:r>
        <w:rPr>
          <w:rFonts w:ascii="Arial" w:hAnsi="Arial" w:cs="Arial"/>
          <w:color w:val="454545"/>
          <w:sz w:val="20"/>
          <w:szCs w:val="20"/>
        </w:rPr>
        <w:t xml:space="preserve">　　</w:t>
      </w:r>
      <w:r>
        <w:rPr>
          <w:rFonts w:ascii="Arial" w:hAnsi="Arial" w:cs="Arial"/>
          <w:color w:val="454545"/>
          <w:sz w:val="20"/>
          <w:szCs w:val="20"/>
        </w:rPr>
        <w:br/>
        <w:t xml:space="preserve">   </w:t>
      </w:r>
      <w:r>
        <w:rPr>
          <w:rFonts w:ascii="Arial" w:hAnsi="Arial" w:cs="Arial"/>
          <w:color w:val="454545"/>
          <w:sz w:val="20"/>
          <w:szCs w:val="20"/>
        </w:rPr>
        <w:br/>
      </w:r>
      <w:r>
        <w:rPr>
          <w:rFonts w:ascii="Arial" w:hAnsi="Arial" w:cs="Arial"/>
          <w:color w:val="454545"/>
          <w:sz w:val="20"/>
          <w:szCs w:val="20"/>
        </w:rPr>
        <w:t>附件</w:t>
      </w:r>
      <w:r>
        <w:rPr>
          <w:rFonts w:ascii="Arial" w:hAnsi="Arial" w:cs="Arial"/>
          <w:color w:val="454545"/>
          <w:sz w:val="20"/>
          <w:szCs w:val="20"/>
        </w:rPr>
        <w:br/>
        <w:t xml:space="preserve">   </w:t>
      </w:r>
      <w:r>
        <w:rPr>
          <w:rFonts w:ascii="Arial" w:hAnsi="Arial" w:cs="Arial"/>
          <w:color w:val="454545"/>
          <w:sz w:val="20"/>
          <w:szCs w:val="20"/>
        </w:rPr>
        <w:br/>
      </w:r>
      <w:r>
        <w:rPr>
          <w:rFonts w:ascii="Arial" w:hAnsi="Arial" w:cs="Arial"/>
          <w:color w:val="454545"/>
          <w:sz w:val="20"/>
          <w:szCs w:val="20"/>
        </w:rPr>
        <w:t>不属于车船税征收范围的纯电动燃料电池乘用车车型目录（第二批）</w:t>
      </w:r>
    </w:p>
    <w:tbl>
      <w:tblPr>
        <w:tblW w:w="5000" w:type="pct"/>
        <w:tblLook w:val="04A0" w:firstRow="1" w:lastRow="0" w:firstColumn="1" w:lastColumn="0" w:noHBand="0" w:noVBand="1"/>
      </w:tblPr>
      <w:tblGrid>
        <w:gridCol w:w="1054"/>
        <w:gridCol w:w="2736"/>
        <w:gridCol w:w="1335"/>
        <w:gridCol w:w="1973"/>
        <w:gridCol w:w="1424"/>
      </w:tblGrid>
      <w:tr w:rsidR="00FA76B9" w:rsidTr="00FD7B17">
        <w:trPr>
          <w:trHeight w:val="960"/>
        </w:trPr>
        <w:tc>
          <w:tcPr>
            <w:tcW w:w="5000" w:type="pct"/>
            <w:gridSpan w:val="5"/>
            <w:noWrap/>
            <w:vAlign w:val="center"/>
          </w:tcPr>
          <w:p w:rsidR="00FA76B9" w:rsidRDefault="00FA76B9" w:rsidP="00FD7B17">
            <w:pPr>
              <w:widowControl/>
              <w:jc w:val="left"/>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不属于车船税征收范围的纯电动 燃料电池乘用车车型目录（第二批）</w:t>
            </w:r>
          </w:p>
        </w:tc>
      </w:tr>
      <w:tr w:rsidR="00FA76B9" w:rsidTr="00FD7B17">
        <w:trPr>
          <w:trHeight w:val="642"/>
        </w:trPr>
        <w:tc>
          <w:tcPr>
            <w:tcW w:w="5000" w:type="pct"/>
            <w:gridSpan w:val="5"/>
            <w:tcBorders>
              <w:top w:val="nil"/>
              <w:left w:val="nil"/>
              <w:bottom w:val="single" w:sz="4" w:space="0" w:color="auto"/>
              <w:right w:val="nil"/>
            </w:tcBorders>
            <w:vAlign w:val="center"/>
          </w:tcPr>
          <w:p w:rsidR="00FA76B9" w:rsidRDefault="00FA76B9" w:rsidP="00FD7B17">
            <w:pPr>
              <w:widowControl/>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一、纯电动乘用车</w:t>
            </w:r>
          </w:p>
        </w:tc>
      </w:tr>
      <w:tr w:rsidR="00FA76B9" w:rsidTr="00FD7B17">
        <w:trPr>
          <w:trHeight w:val="642"/>
        </w:trPr>
        <w:tc>
          <w:tcPr>
            <w:tcW w:w="617" w:type="pct"/>
            <w:tcBorders>
              <w:top w:val="single" w:sz="4" w:space="0" w:color="auto"/>
              <w:left w:val="single" w:sz="4" w:space="0" w:color="auto"/>
              <w:bottom w:val="single" w:sz="4" w:space="0" w:color="auto"/>
              <w:right w:val="single" w:sz="4" w:space="0" w:color="auto"/>
            </w:tcBorders>
            <w:noWrap/>
            <w:vAlign w:val="center"/>
          </w:tcPr>
          <w:p w:rsidR="00FA76B9" w:rsidRDefault="00FA76B9" w:rsidP="00FD7B17">
            <w:pPr>
              <w:widowControl/>
              <w:jc w:val="center"/>
              <w:rPr>
                <w:rFonts w:ascii="仿宋_GB2312" w:eastAsia="仿宋_GB2312" w:hAnsi="宋体" w:cs="宋体"/>
                <w:b/>
                <w:bCs/>
                <w:color w:val="000000"/>
                <w:kern w:val="0"/>
              </w:rPr>
            </w:pPr>
            <w:r>
              <w:rPr>
                <w:rFonts w:ascii="仿宋_GB2312" w:eastAsia="仿宋_GB2312" w:hAnsi="宋体" w:cs="宋体" w:hint="eastAsia"/>
                <w:b/>
                <w:bCs/>
                <w:color w:val="000000"/>
                <w:kern w:val="0"/>
              </w:rPr>
              <w:t>序号</w:t>
            </w:r>
          </w:p>
        </w:tc>
        <w:tc>
          <w:tcPr>
            <w:tcW w:w="1608" w:type="pct"/>
            <w:tcBorders>
              <w:top w:val="single" w:sz="4" w:space="0" w:color="auto"/>
              <w:left w:val="nil"/>
              <w:bottom w:val="single" w:sz="4" w:space="0" w:color="auto"/>
              <w:right w:val="single" w:sz="4" w:space="0" w:color="auto"/>
            </w:tcBorders>
            <w:noWrap/>
            <w:vAlign w:val="center"/>
          </w:tcPr>
          <w:p w:rsidR="00FA76B9" w:rsidRDefault="00FA76B9" w:rsidP="00FD7B17">
            <w:pPr>
              <w:widowControl/>
              <w:jc w:val="center"/>
              <w:rPr>
                <w:rFonts w:ascii="仿宋_GB2312" w:eastAsia="仿宋_GB2312" w:hAnsi="宋体" w:cs="宋体"/>
                <w:b/>
                <w:bCs/>
                <w:color w:val="000000"/>
                <w:kern w:val="0"/>
              </w:rPr>
            </w:pPr>
            <w:r>
              <w:rPr>
                <w:rFonts w:ascii="仿宋_GB2312" w:eastAsia="仿宋_GB2312" w:hAnsi="宋体" w:cs="宋体" w:hint="eastAsia"/>
                <w:b/>
                <w:bCs/>
                <w:color w:val="000000"/>
                <w:kern w:val="0"/>
              </w:rPr>
              <w:t>企业名称</w:t>
            </w:r>
          </w:p>
        </w:tc>
        <w:tc>
          <w:tcPr>
            <w:tcW w:w="782" w:type="pct"/>
            <w:tcBorders>
              <w:top w:val="single" w:sz="4" w:space="0" w:color="auto"/>
              <w:left w:val="nil"/>
              <w:bottom w:val="single" w:sz="4" w:space="0" w:color="auto"/>
              <w:right w:val="single" w:sz="4" w:space="0" w:color="auto"/>
            </w:tcBorders>
            <w:noWrap/>
            <w:vAlign w:val="center"/>
          </w:tcPr>
          <w:p w:rsidR="00FA76B9" w:rsidRDefault="00FA76B9" w:rsidP="00FD7B17">
            <w:pPr>
              <w:widowControl/>
              <w:jc w:val="center"/>
              <w:rPr>
                <w:rFonts w:ascii="仿宋_GB2312" w:eastAsia="仿宋_GB2312" w:hAnsi="宋体" w:cs="宋体"/>
                <w:b/>
                <w:bCs/>
                <w:color w:val="000000"/>
                <w:kern w:val="0"/>
              </w:rPr>
            </w:pPr>
            <w:r>
              <w:rPr>
                <w:rFonts w:ascii="仿宋_GB2312" w:eastAsia="仿宋_GB2312" w:hAnsi="宋体" w:cs="宋体" w:hint="eastAsia"/>
                <w:b/>
                <w:bCs/>
                <w:color w:val="000000"/>
                <w:kern w:val="0"/>
              </w:rPr>
              <w:t>商标</w:t>
            </w:r>
          </w:p>
        </w:tc>
        <w:tc>
          <w:tcPr>
            <w:tcW w:w="1158" w:type="pct"/>
            <w:tcBorders>
              <w:top w:val="single" w:sz="4" w:space="0" w:color="auto"/>
              <w:left w:val="nil"/>
              <w:bottom w:val="single" w:sz="4" w:space="0" w:color="auto"/>
              <w:right w:val="single" w:sz="4" w:space="0" w:color="auto"/>
            </w:tcBorders>
            <w:noWrap/>
            <w:vAlign w:val="center"/>
          </w:tcPr>
          <w:p w:rsidR="00FA76B9" w:rsidRDefault="00FA76B9" w:rsidP="00FD7B17">
            <w:pPr>
              <w:widowControl/>
              <w:jc w:val="center"/>
              <w:rPr>
                <w:rFonts w:ascii="仿宋_GB2312" w:eastAsia="仿宋_GB2312" w:hAnsi="宋体" w:cs="宋体"/>
                <w:b/>
                <w:bCs/>
                <w:color w:val="000000"/>
                <w:kern w:val="0"/>
              </w:rPr>
            </w:pPr>
            <w:r>
              <w:rPr>
                <w:rFonts w:ascii="仿宋_GB2312" w:eastAsia="仿宋_GB2312" w:hAnsi="宋体" w:cs="宋体" w:hint="eastAsia"/>
                <w:b/>
                <w:bCs/>
                <w:color w:val="000000"/>
                <w:kern w:val="0"/>
              </w:rPr>
              <w:t>产品型号</w:t>
            </w:r>
          </w:p>
        </w:tc>
        <w:tc>
          <w:tcPr>
            <w:tcW w:w="835" w:type="pct"/>
            <w:tcBorders>
              <w:top w:val="single" w:sz="4" w:space="0" w:color="auto"/>
              <w:left w:val="nil"/>
              <w:bottom w:val="single" w:sz="4" w:space="0" w:color="auto"/>
              <w:right w:val="single" w:sz="4" w:space="0" w:color="auto"/>
            </w:tcBorders>
            <w:noWrap/>
            <w:vAlign w:val="center"/>
          </w:tcPr>
          <w:p w:rsidR="00FA76B9" w:rsidRDefault="00FA76B9" w:rsidP="00FD7B17">
            <w:pPr>
              <w:widowControl/>
              <w:jc w:val="center"/>
              <w:rPr>
                <w:rFonts w:ascii="仿宋_GB2312" w:eastAsia="仿宋_GB2312" w:hAnsi="宋体" w:cs="宋体"/>
                <w:b/>
                <w:bCs/>
                <w:color w:val="000000"/>
                <w:kern w:val="0"/>
              </w:rPr>
            </w:pPr>
            <w:r>
              <w:rPr>
                <w:rFonts w:ascii="仿宋_GB2312" w:eastAsia="仿宋_GB2312" w:hAnsi="宋体" w:cs="宋体" w:hint="eastAsia"/>
                <w:b/>
                <w:bCs/>
                <w:color w:val="000000"/>
                <w:kern w:val="0"/>
              </w:rPr>
              <w:t>产品名称</w:t>
            </w:r>
          </w:p>
        </w:tc>
      </w:tr>
      <w:tr w:rsidR="00FA76B9" w:rsidTr="00FD7B17">
        <w:trPr>
          <w:trHeight w:val="642"/>
        </w:trPr>
        <w:tc>
          <w:tcPr>
            <w:tcW w:w="617" w:type="pct"/>
            <w:tcBorders>
              <w:top w:val="single" w:sz="4" w:space="0" w:color="auto"/>
              <w:left w:val="single" w:sz="4" w:space="0" w:color="auto"/>
              <w:bottom w:val="single" w:sz="4" w:space="0" w:color="auto"/>
              <w:right w:val="single" w:sz="4" w:space="0" w:color="auto"/>
            </w:tcBorders>
            <w:noWrap/>
            <w:vAlign w:val="center"/>
          </w:tcPr>
          <w:p w:rsidR="00FA76B9" w:rsidRDefault="00FA76B9" w:rsidP="00FD7B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1</w:t>
            </w:r>
          </w:p>
        </w:tc>
        <w:tc>
          <w:tcPr>
            <w:tcW w:w="1608" w:type="pct"/>
            <w:tcBorders>
              <w:top w:val="single" w:sz="4" w:space="0" w:color="auto"/>
              <w:left w:val="nil"/>
              <w:bottom w:val="single" w:sz="4" w:space="0" w:color="auto"/>
              <w:right w:val="single" w:sz="4" w:space="0" w:color="auto"/>
            </w:tcBorders>
            <w:noWrap/>
            <w:vAlign w:val="center"/>
          </w:tcPr>
          <w:p w:rsidR="00FA76B9" w:rsidRDefault="00FA76B9" w:rsidP="00FD7B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北京汽车股份有限公司</w:t>
            </w:r>
          </w:p>
        </w:tc>
        <w:tc>
          <w:tcPr>
            <w:tcW w:w="782" w:type="pct"/>
            <w:tcBorders>
              <w:top w:val="single" w:sz="4" w:space="0" w:color="auto"/>
              <w:left w:val="nil"/>
              <w:bottom w:val="single" w:sz="4" w:space="0" w:color="auto"/>
              <w:right w:val="single" w:sz="4" w:space="0" w:color="auto"/>
            </w:tcBorders>
            <w:noWrap/>
            <w:vAlign w:val="center"/>
          </w:tcPr>
          <w:p w:rsidR="00FA76B9" w:rsidRDefault="00FA76B9" w:rsidP="00FD7B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北京牌</w:t>
            </w:r>
          </w:p>
        </w:tc>
        <w:tc>
          <w:tcPr>
            <w:tcW w:w="1158" w:type="pct"/>
            <w:tcBorders>
              <w:top w:val="single" w:sz="4" w:space="0" w:color="auto"/>
              <w:left w:val="nil"/>
              <w:bottom w:val="single" w:sz="4" w:space="0" w:color="auto"/>
              <w:right w:val="single" w:sz="4" w:space="0" w:color="auto"/>
            </w:tcBorders>
            <w:noWrap/>
            <w:vAlign w:val="center"/>
          </w:tcPr>
          <w:p w:rsidR="00FA76B9" w:rsidRDefault="00FA76B9" w:rsidP="00FD7B17">
            <w:pPr>
              <w:widowControl/>
              <w:jc w:val="left"/>
              <w:rPr>
                <w:rFonts w:ascii="仿宋_GB2312" w:eastAsia="仿宋_GB2312" w:hAnsi="宋体" w:cs="宋体"/>
                <w:color w:val="000000"/>
                <w:kern w:val="0"/>
              </w:rPr>
            </w:pPr>
            <w:r>
              <w:rPr>
                <w:rFonts w:ascii="仿宋_GB2312" w:eastAsia="仿宋_GB2312" w:hAnsi="宋体" w:cs="宋体" w:hint="eastAsia"/>
                <w:color w:val="000000"/>
                <w:kern w:val="0"/>
              </w:rPr>
              <w:t>BJ7000B3D-BEV</w:t>
            </w:r>
          </w:p>
        </w:tc>
        <w:tc>
          <w:tcPr>
            <w:tcW w:w="835" w:type="pct"/>
            <w:tcBorders>
              <w:top w:val="single" w:sz="4" w:space="0" w:color="auto"/>
              <w:left w:val="nil"/>
              <w:bottom w:val="single" w:sz="4" w:space="0" w:color="auto"/>
              <w:right w:val="single" w:sz="4" w:space="0" w:color="auto"/>
            </w:tcBorders>
            <w:noWrap/>
            <w:vAlign w:val="center"/>
          </w:tcPr>
          <w:p w:rsidR="00FA76B9" w:rsidRDefault="00FA76B9" w:rsidP="00FD7B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纯电动轿车</w:t>
            </w:r>
          </w:p>
        </w:tc>
      </w:tr>
      <w:tr w:rsidR="00FA76B9" w:rsidTr="00FD7B17">
        <w:trPr>
          <w:trHeight w:val="642"/>
        </w:trPr>
        <w:tc>
          <w:tcPr>
            <w:tcW w:w="617" w:type="pct"/>
            <w:tcBorders>
              <w:top w:val="single" w:sz="4" w:space="0" w:color="auto"/>
              <w:left w:val="single" w:sz="4" w:space="0" w:color="auto"/>
              <w:bottom w:val="single" w:sz="4" w:space="0" w:color="auto"/>
              <w:right w:val="single" w:sz="4" w:space="0" w:color="auto"/>
            </w:tcBorders>
            <w:vAlign w:val="center"/>
          </w:tcPr>
          <w:p w:rsidR="00FA76B9" w:rsidRDefault="00FA76B9" w:rsidP="00FD7B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2</w:t>
            </w:r>
          </w:p>
        </w:tc>
        <w:tc>
          <w:tcPr>
            <w:tcW w:w="1608" w:type="pct"/>
            <w:tcBorders>
              <w:top w:val="single" w:sz="4" w:space="0" w:color="auto"/>
              <w:left w:val="nil"/>
              <w:bottom w:val="single" w:sz="4" w:space="0" w:color="auto"/>
              <w:right w:val="single" w:sz="4" w:space="0" w:color="auto"/>
            </w:tcBorders>
            <w:vAlign w:val="center"/>
          </w:tcPr>
          <w:p w:rsidR="00FA76B9" w:rsidRDefault="00FA76B9" w:rsidP="00FD7B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长城汽车股份有限公司</w:t>
            </w:r>
          </w:p>
        </w:tc>
        <w:tc>
          <w:tcPr>
            <w:tcW w:w="782" w:type="pct"/>
            <w:tcBorders>
              <w:top w:val="single" w:sz="4" w:space="0" w:color="auto"/>
              <w:left w:val="nil"/>
              <w:bottom w:val="single" w:sz="4" w:space="0" w:color="auto"/>
              <w:right w:val="single" w:sz="4" w:space="0" w:color="auto"/>
            </w:tcBorders>
            <w:noWrap/>
            <w:vAlign w:val="center"/>
          </w:tcPr>
          <w:p w:rsidR="00FA76B9" w:rsidRDefault="00FA76B9" w:rsidP="00FD7B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长城牌</w:t>
            </w:r>
          </w:p>
        </w:tc>
        <w:tc>
          <w:tcPr>
            <w:tcW w:w="1158" w:type="pct"/>
            <w:tcBorders>
              <w:top w:val="single" w:sz="4" w:space="0" w:color="auto"/>
              <w:left w:val="nil"/>
              <w:bottom w:val="single" w:sz="4" w:space="0" w:color="auto"/>
              <w:right w:val="single" w:sz="4" w:space="0" w:color="auto"/>
            </w:tcBorders>
            <w:noWrap/>
            <w:vAlign w:val="center"/>
          </w:tcPr>
          <w:p w:rsidR="00FA76B9" w:rsidRDefault="00FA76B9" w:rsidP="00FD7B17">
            <w:pPr>
              <w:widowControl/>
              <w:jc w:val="left"/>
              <w:rPr>
                <w:rFonts w:ascii="仿宋_GB2312" w:eastAsia="仿宋_GB2312" w:hAnsi="宋体" w:cs="宋体"/>
                <w:color w:val="000000"/>
                <w:kern w:val="0"/>
              </w:rPr>
            </w:pPr>
            <w:r>
              <w:rPr>
                <w:rFonts w:ascii="仿宋_GB2312" w:eastAsia="仿宋_GB2312" w:hAnsi="宋体" w:cs="宋体" w:hint="eastAsia"/>
                <w:color w:val="000000"/>
                <w:kern w:val="0"/>
              </w:rPr>
              <w:t>CC7002BMA00BEV</w:t>
            </w:r>
          </w:p>
        </w:tc>
        <w:tc>
          <w:tcPr>
            <w:tcW w:w="835" w:type="pct"/>
            <w:tcBorders>
              <w:top w:val="single" w:sz="4" w:space="0" w:color="auto"/>
              <w:left w:val="nil"/>
              <w:bottom w:val="single" w:sz="4" w:space="0" w:color="auto"/>
              <w:right w:val="single" w:sz="4" w:space="0" w:color="auto"/>
            </w:tcBorders>
            <w:noWrap/>
            <w:vAlign w:val="center"/>
          </w:tcPr>
          <w:p w:rsidR="00FA76B9" w:rsidRDefault="00FA76B9" w:rsidP="00FD7B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纯电动轿车</w:t>
            </w:r>
          </w:p>
        </w:tc>
      </w:tr>
      <w:tr w:rsidR="00FA76B9" w:rsidTr="00FD7B17">
        <w:trPr>
          <w:trHeight w:val="642"/>
        </w:trPr>
        <w:tc>
          <w:tcPr>
            <w:tcW w:w="617" w:type="pct"/>
            <w:tcBorders>
              <w:top w:val="single" w:sz="4" w:space="0" w:color="auto"/>
              <w:left w:val="single" w:sz="4" w:space="0" w:color="auto"/>
              <w:bottom w:val="single" w:sz="4" w:space="0" w:color="auto"/>
              <w:right w:val="single" w:sz="4" w:space="0" w:color="auto"/>
            </w:tcBorders>
            <w:vAlign w:val="center"/>
          </w:tcPr>
          <w:p w:rsidR="00FA76B9" w:rsidRDefault="00FA76B9" w:rsidP="00FD7B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3</w:t>
            </w:r>
          </w:p>
        </w:tc>
        <w:tc>
          <w:tcPr>
            <w:tcW w:w="1608" w:type="pct"/>
            <w:tcBorders>
              <w:top w:val="single" w:sz="4" w:space="0" w:color="auto"/>
              <w:left w:val="nil"/>
              <w:bottom w:val="single" w:sz="4" w:space="0" w:color="auto"/>
              <w:right w:val="single" w:sz="4" w:space="0" w:color="auto"/>
            </w:tcBorders>
            <w:vAlign w:val="center"/>
          </w:tcPr>
          <w:p w:rsidR="00FA76B9" w:rsidRDefault="00FA76B9" w:rsidP="00FD7B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奇瑞汽车股份有限公司</w:t>
            </w:r>
          </w:p>
        </w:tc>
        <w:tc>
          <w:tcPr>
            <w:tcW w:w="782" w:type="pct"/>
            <w:tcBorders>
              <w:top w:val="single" w:sz="4" w:space="0" w:color="auto"/>
              <w:left w:val="nil"/>
              <w:bottom w:val="single" w:sz="4" w:space="0" w:color="auto"/>
              <w:right w:val="single" w:sz="4" w:space="0" w:color="auto"/>
            </w:tcBorders>
            <w:noWrap/>
            <w:vAlign w:val="center"/>
          </w:tcPr>
          <w:p w:rsidR="00FA76B9" w:rsidRDefault="00FA76B9" w:rsidP="00FD7B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奇瑞牌</w:t>
            </w:r>
          </w:p>
        </w:tc>
        <w:tc>
          <w:tcPr>
            <w:tcW w:w="1158" w:type="pct"/>
            <w:tcBorders>
              <w:top w:val="single" w:sz="4" w:space="0" w:color="auto"/>
              <w:left w:val="nil"/>
              <w:bottom w:val="single" w:sz="4" w:space="0" w:color="auto"/>
              <w:right w:val="single" w:sz="4" w:space="0" w:color="auto"/>
            </w:tcBorders>
            <w:noWrap/>
            <w:vAlign w:val="center"/>
          </w:tcPr>
          <w:p w:rsidR="00FA76B9" w:rsidRDefault="00FA76B9" w:rsidP="00FD7B17">
            <w:pPr>
              <w:widowControl/>
              <w:jc w:val="left"/>
              <w:rPr>
                <w:rFonts w:ascii="仿宋_GB2312" w:eastAsia="仿宋_GB2312" w:hAnsi="宋体" w:cs="宋体"/>
                <w:color w:val="000000"/>
                <w:kern w:val="0"/>
              </w:rPr>
            </w:pPr>
            <w:r>
              <w:rPr>
                <w:rFonts w:ascii="仿宋_GB2312" w:eastAsia="仿宋_GB2312" w:hAnsi="宋体" w:cs="宋体" w:hint="eastAsia"/>
                <w:color w:val="000000"/>
                <w:kern w:val="0"/>
              </w:rPr>
              <w:t>SQR7000EAS11</w:t>
            </w:r>
          </w:p>
        </w:tc>
        <w:tc>
          <w:tcPr>
            <w:tcW w:w="835" w:type="pct"/>
            <w:tcBorders>
              <w:top w:val="single" w:sz="4" w:space="0" w:color="auto"/>
              <w:left w:val="nil"/>
              <w:bottom w:val="single" w:sz="4" w:space="0" w:color="auto"/>
              <w:right w:val="single" w:sz="4" w:space="0" w:color="auto"/>
            </w:tcBorders>
            <w:noWrap/>
            <w:vAlign w:val="center"/>
          </w:tcPr>
          <w:p w:rsidR="00FA76B9" w:rsidRDefault="00FA76B9" w:rsidP="00FD7B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纯电动轿车</w:t>
            </w:r>
          </w:p>
        </w:tc>
      </w:tr>
    </w:tbl>
    <w:p w:rsidR="00FA76B9" w:rsidRDefault="00FA76B9" w:rsidP="00FA76B9">
      <w:pPr>
        <w:rPr>
          <w:rFonts w:ascii="Calibri" w:hAnsi="Calibri"/>
        </w:rPr>
      </w:pPr>
      <w:r>
        <w:rPr>
          <w:rFonts w:hint="eastAsia"/>
        </w:rPr>
        <w:t>注：企业名单按拼音顺序排列</w:t>
      </w:r>
    </w:p>
    <w:p w:rsidR="00FA76B9" w:rsidRDefault="00FA76B9" w:rsidP="00FA76B9">
      <w:pPr>
        <w:rPr>
          <w:rFonts w:ascii="仿宋_GB2312" w:eastAsia="仿宋_GB2312" w:hint="eastAsia"/>
          <w:b/>
          <w:sz w:val="24"/>
        </w:rPr>
      </w:pPr>
      <w:r>
        <w:rPr>
          <w:rFonts w:ascii="仿宋_GB2312" w:eastAsia="仿宋_GB2312" w:hint="eastAsia"/>
          <w:b/>
          <w:sz w:val="24"/>
        </w:rPr>
        <w:t>二、燃料电池乘用车（无）</w:t>
      </w:r>
    </w:p>
    <w:p w:rsidR="00FA76B9" w:rsidRDefault="00FA76B9" w:rsidP="00FA76B9">
      <w:pPr>
        <w:ind w:firstLineChars="200" w:firstLine="643"/>
        <w:jc w:val="center"/>
        <w:rPr>
          <w:rFonts w:ascii="仿宋_GB2312" w:eastAsia="仿宋_GB2312" w:hint="eastAsia"/>
          <w:b/>
          <w:bCs/>
          <w:sz w:val="32"/>
          <w:szCs w:val="32"/>
        </w:rPr>
      </w:pPr>
    </w:p>
    <w:p w:rsidR="00FA76B9" w:rsidRPr="00896E7D" w:rsidRDefault="00FA76B9" w:rsidP="00FA76B9"/>
    <w:p w:rsidR="00A94886" w:rsidRPr="00FA76B9" w:rsidRDefault="00A94886"/>
    <w:sectPr w:rsidR="00A94886" w:rsidRPr="00FA76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C30" w:rsidRDefault="00C80C30" w:rsidP="00FA76B9">
      <w:r>
        <w:separator/>
      </w:r>
    </w:p>
  </w:endnote>
  <w:endnote w:type="continuationSeparator" w:id="0">
    <w:p w:rsidR="00C80C30" w:rsidRDefault="00C80C30" w:rsidP="00FA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C30" w:rsidRDefault="00C80C30" w:rsidP="00FA76B9">
      <w:r>
        <w:separator/>
      </w:r>
    </w:p>
  </w:footnote>
  <w:footnote w:type="continuationSeparator" w:id="0">
    <w:p w:rsidR="00C80C30" w:rsidRDefault="00C80C30" w:rsidP="00FA7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78"/>
    <w:rsid w:val="003C0978"/>
    <w:rsid w:val="00A94886"/>
    <w:rsid w:val="00C80C30"/>
    <w:rsid w:val="00FA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76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76B9"/>
    <w:rPr>
      <w:sz w:val="18"/>
      <w:szCs w:val="18"/>
    </w:rPr>
  </w:style>
  <w:style w:type="paragraph" w:styleId="a4">
    <w:name w:val="footer"/>
    <w:basedOn w:val="a"/>
    <w:link w:val="Char0"/>
    <w:uiPriority w:val="99"/>
    <w:unhideWhenUsed/>
    <w:rsid w:val="00FA76B9"/>
    <w:pPr>
      <w:tabs>
        <w:tab w:val="center" w:pos="4153"/>
        <w:tab w:val="right" w:pos="8306"/>
      </w:tabs>
      <w:snapToGrid w:val="0"/>
      <w:jc w:val="left"/>
    </w:pPr>
    <w:rPr>
      <w:sz w:val="18"/>
      <w:szCs w:val="18"/>
    </w:rPr>
  </w:style>
  <w:style w:type="character" w:customStyle="1" w:styleId="Char0">
    <w:name w:val="页脚 Char"/>
    <w:basedOn w:val="a0"/>
    <w:link w:val="a4"/>
    <w:uiPriority w:val="99"/>
    <w:rsid w:val="00FA76B9"/>
    <w:rPr>
      <w:sz w:val="18"/>
      <w:szCs w:val="18"/>
    </w:rPr>
  </w:style>
  <w:style w:type="paragraph" w:styleId="a5">
    <w:name w:val="Normal (Web)"/>
    <w:basedOn w:val="a"/>
    <w:uiPriority w:val="99"/>
    <w:semiHidden/>
    <w:unhideWhenUsed/>
    <w:rsid w:val="00FA76B9"/>
    <w:pPr>
      <w:widowControl/>
      <w:spacing w:before="100" w:beforeAutospacing="1" w:after="100" w:afterAutospacing="1"/>
      <w:jc w:val="left"/>
    </w:pPr>
    <w:rPr>
      <w:rFonts w:ascii="宋体" w:eastAsia="宋体" w:hAnsi="宋体" w:cs="宋体"/>
      <w:kern w:val="0"/>
      <w:sz w:val="24"/>
      <w:szCs w:val="24"/>
    </w:rPr>
  </w:style>
  <w:style w:type="paragraph" w:customStyle="1" w:styleId="CharCharChar">
    <w:name w:val="Char Char Char"/>
    <w:basedOn w:val="a"/>
    <w:rsid w:val="00FA76B9"/>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76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76B9"/>
    <w:rPr>
      <w:sz w:val="18"/>
      <w:szCs w:val="18"/>
    </w:rPr>
  </w:style>
  <w:style w:type="paragraph" w:styleId="a4">
    <w:name w:val="footer"/>
    <w:basedOn w:val="a"/>
    <w:link w:val="Char0"/>
    <w:uiPriority w:val="99"/>
    <w:unhideWhenUsed/>
    <w:rsid w:val="00FA76B9"/>
    <w:pPr>
      <w:tabs>
        <w:tab w:val="center" w:pos="4153"/>
        <w:tab w:val="right" w:pos="8306"/>
      </w:tabs>
      <w:snapToGrid w:val="0"/>
      <w:jc w:val="left"/>
    </w:pPr>
    <w:rPr>
      <w:sz w:val="18"/>
      <w:szCs w:val="18"/>
    </w:rPr>
  </w:style>
  <w:style w:type="character" w:customStyle="1" w:styleId="Char0">
    <w:name w:val="页脚 Char"/>
    <w:basedOn w:val="a0"/>
    <w:link w:val="a4"/>
    <w:uiPriority w:val="99"/>
    <w:rsid w:val="00FA76B9"/>
    <w:rPr>
      <w:sz w:val="18"/>
      <w:szCs w:val="18"/>
    </w:rPr>
  </w:style>
  <w:style w:type="paragraph" w:styleId="a5">
    <w:name w:val="Normal (Web)"/>
    <w:basedOn w:val="a"/>
    <w:uiPriority w:val="99"/>
    <w:semiHidden/>
    <w:unhideWhenUsed/>
    <w:rsid w:val="00FA76B9"/>
    <w:pPr>
      <w:widowControl/>
      <w:spacing w:before="100" w:beforeAutospacing="1" w:after="100" w:afterAutospacing="1"/>
      <w:jc w:val="left"/>
    </w:pPr>
    <w:rPr>
      <w:rFonts w:ascii="宋体" w:eastAsia="宋体" w:hAnsi="宋体" w:cs="宋体"/>
      <w:kern w:val="0"/>
      <w:sz w:val="24"/>
      <w:szCs w:val="24"/>
    </w:rPr>
  </w:style>
  <w:style w:type="paragraph" w:customStyle="1" w:styleId="CharCharChar">
    <w:name w:val="Char Char Char"/>
    <w:basedOn w:val="a"/>
    <w:rsid w:val="00FA76B9"/>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Company>微软中国</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2013-08-19T06:10:00Z</dcterms:created>
  <dcterms:modified xsi:type="dcterms:W3CDTF">2013-08-19T06:11:00Z</dcterms:modified>
</cp:coreProperties>
</file>