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BC" w:rsidRDefault="00D370BC" w:rsidP="00D370BC">
      <w:pPr>
        <w:pStyle w:val="a3"/>
        <w:spacing w:line="379" w:lineRule="auto"/>
        <w:jc w:val="center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FF0000"/>
        </w:rPr>
        <w:t>财政部关于城市维护建设税几个具体业务问题的补充规定</w:t>
      </w:r>
    </w:p>
    <w:p w:rsidR="00D370BC" w:rsidRDefault="00D370BC" w:rsidP="00D370BC">
      <w:pPr>
        <w:pStyle w:val="a3"/>
        <w:spacing w:line="379" w:lineRule="auto"/>
        <w:jc w:val="center"/>
        <w:rPr>
          <w:rFonts w:ascii="Arial" w:hAnsi="Arial" w:cs="Arial"/>
          <w:color w:val="454545"/>
          <w:sz w:val="18"/>
          <w:szCs w:val="18"/>
        </w:rPr>
      </w:pPr>
      <w:bookmarkStart w:id="0" w:name="_GoBack"/>
      <w:r>
        <w:rPr>
          <w:rFonts w:ascii="Arial" w:hAnsi="Arial" w:cs="Arial"/>
          <w:color w:val="0000FF"/>
          <w:sz w:val="20"/>
          <w:szCs w:val="20"/>
        </w:rPr>
        <w:t>财税字</w:t>
      </w:r>
      <w:r>
        <w:rPr>
          <w:rFonts w:ascii="Arial" w:hAnsi="Arial" w:cs="Arial"/>
          <w:color w:val="0000FF"/>
          <w:sz w:val="20"/>
          <w:szCs w:val="20"/>
        </w:rPr>
        <w:t>[1985]143</w:t>
      </w:r>
      <w:r>
        <w:rPr>
          <w:rFonts w:ascii="Arial" w:hAnsi="Arial" w:cs="Arial"/>
          <w:color w:val="0000FF"/>
          <w:sz w:val="20"/>
          <w:szCs w:val="20"/>
        </w:rPr>
        <w:t>号</w:t>
      </w:r>
      <w:bookmarkEnd w:id="0"/>
      <w:r>
        <w:rPr>
          <w:rFonts w:ascii="Arial" w:hAnsi="Arial" w:cs="Arial"/>
          <w:color w:val="454545"/>
          <w:sz w:val="20"/>
          <w:szCs w:val="20"/>
        </w:rPr>
        <w:t>          1985.6.4</w:t>
      </w:r>
    </w:p>
    <w:p w:rsidR="00D370BC" w:rsidRDefault="00D370BC" w:rsidP="00D370BC">
      <w:pPr>
        <w:pStyle w:val="a3"/>
        <w:spacing w:line="379" w:lineRule="auto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20"/>
          <w:szCs w:val="20"/>
        </w:rPr>
        <w:t>城市维护建设税暂行条例公布后，对贯彻执行中的问题，我部已在（</w:t>
      </w:r>
      <w:r>
        <w:rPr>
          <w:rFonts w:ascii="Arial" w:hAnsi="Arial" w:cs="Arial"/>
          <w:color w:val="454545"/>
          <w:sz w:val="20"/>
          <w:szCs w:val="20"/>
        </w:rPr>
        <w:t>85</w:t>
      </w:r>
      <w:r>
        <w:rPr>
          <w:rFonts w:ascii="Arial" w:hAnsi="Arial" w:cs="Arial"/>
          <w:color w:val="454545"/>
          <w:sz w:val="20"/>
          <w:szCs w:val="20"/>
        </w:rPr>
        <w:t>）财税字第</w:t>
      </w:r>
      <w:r>
        <w:rPr>
          <w:rFonts w:ascii="Arial" w:hAnsi="Arial" w:cs="Arial"/>
          <w:color w:val="454545"/>
          <w:sz w:val="20"/>
          <w:szCs w:val="20"/>
        </w:rPr>
        <w:t>69</w:t>
      </w:r>
      <w:r>
        <w:rPr>
          <w:rFonts w:ascii="Arial" w:hAnsi="Arial" w:cs="Arial"/>
          <w:color w:val="454545"/>
          <w:sz w:val="20"/>
          <w:szCs w:val="20"/>
        </w:rPr>
        <w:t>号文中作了规定。现根据一些地区反映，再对几个具体业务问题，作补充规定如下：</w:t>
      </w:r>
    </w:p>
    <w:p w:rsidR="00D370BC" w:rsidRDefault="00D370BC" w:rsidP="00D370BC">
      <w:pPr>
        <w:pStyle w:val="a3"/>
        <w:spacing w:line="379" w:lineRule="auto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20"/>
          <w:szCs w:val="20"/>
        </w:rPr>
        <w:t xml:space="preserve">　　一、关于市区，县城，镇的范围，应按行政区划作为划分标准。</w:t>
      </w:r>
    </w:p>
    <w:p w:rsidR="00D370BC" w:rsidRDefault="00D370BC" w:rsidP="00D370BC">
      <w:pPr>
        <w:pStyle w:val="a3"/>
        <w:spacing w:line="379" w:lineRule="auto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20"/>
          <w:szCs w:val="20"/>
        </w:rPr>
        <w:t xml:space="preserve">　　二、城市维护建设税的适用税率，应按纳税人所在地的规定税率执行。但对下列两种情况，可按缴纳三税所在地的规定税率就地缴纳城市维护建设税：</w:t>
      </w:r>
      <w:r>
        <w:rPr>
          <w:rFonts w:ascii="Arial" w:hAnsi="Arial" w:cs="Arial"/>
          <w:color w:val="454545"/>
          <w:sz w:val="20"/>
          <w:szCs w:val="20"/>
        </w:rPr>
        <w:br/>
      </w:r>
      <w:r>
        <w:rPr>
          <w:rFonts w:ascii="Arial" w:hAnsi="Arial" w:cs="Arial"/>
          <w:color w:val="454545"/>
          <w:sz w:val="20"/>
          <w:szCs w:val="20"/>
        </w:rPr>
        <w:t xml:space="preserve">　　</w:t>
      </w:r>
      <w:r>
        <w:rPr>
          <w:rFonts w:ascii="Arial" w:hAnsi="Arial" w:cs="Arial"/>
          <w:color w:val="454545"/>
          <w:sz w:val="20"/>
          <w:szCs w:val="20"/>
        </w:rPr>
        <w:t>1.</w:t>
      </w:r>
      <w:r>
        <w:rPr>
          <w:rFonts w:ascii="Arial" w:hAnsi="Arial" w:cs="Arial"/>
          <w:color w:val="454545"/>
          <w:sz w:val="20"/>
          <w:szCs w:val="20"/>
        </w:rPr>
        <w:t>由受托方代</w:t>
      </w:r>
      <w:proofErr w:type="gramStart"/>
      <w:r>
        <w:rPr>
          <w:rFonts w:ascii="Arial" w:hAnsi="Arial" w:cs="Arial"/>
          <w:color w:val="454545"/>
          <w:sz w:val="20"/>
          <w:szCs w:val="20"/>
        </w:rPr>
        <w:t>征代</w:t>
      </w:r>
      <w:proofErr w:type="gramEnd"/>
      <w:r>
        <w:rPr>
          <w:rFonts w:ascii="Arial" w:hAnsi="Arial" w:cs="Arial"/>
          <w:color w:val="454545"/>
          <w:sz w:val="20"/>
          <w:szCs w:val="20"/>
        </w:rPr>
        <w:t>扣产品税，增值税，营业税的单位和个人；</w:t>
      </w:r>
    </w:p>
    <w:p w:rsidR="00D370BC" w:rsidRDefault="00D370BC" w:rsidP="00D370BC">
      <w:pPr>
        <w:pStyle w:val="a3"/>
        <w:spacing w:line="379" w:lineRule="auto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20"/>
          <w:szCs w:val="20"/>
        </w:rPr>
        <w:t xml:space="preserve">　　</w:t>
      </w:r>
      <w:r>
        <w:rPr>
          <w:rFonts w:ascii="Arial" w:hAnsi="Arial" w:cs="Arial"/>
          <w:color w:val="454545"/>
          <w:sz w:val="20"/>
          <w:szCs w:val="20"/>
        </w:rPr>
        <w:t>2.</w:t>
      </w:r>
      <w:r>
        <w:rPr>
          <w:rFonts w:ascii="Arial" w:hAnsi="Arial" w:cs="Arial"/>
          <w:color w:val="454545"/>
          <w:sz w:val="20"/>
          <w:szCs w:val="20"/>
        </w:rPr>
        <w:t>流动经营等无固定纳税地点的单位和个人。</w:t>
      </w:r>
    </w:p>
    <w:p w:rsidR="00D370BC" w:rsidRDefault="00D370BC" w:rsidP="00D370BC">
      <w:pPr>
        <w:pStyle w:val="a3"/>
        <w:spacing w:line="379" w:lineRule="auto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20"/>
          <w:szCs w:val="20"/>
        </w:rPr>
        <w:t xml:space="preserve">　　三、对出口产品退还产品税，增值税的，不退还已纳的城市维护建设税。对由于减免产品税，增值税，营业税而发生的退税，同时退还已纳的城市维护建设税。</w:t>
      </w:r>
    </w:p>
    <w:p w:rsidR="00D370BC" w:rsidRDefault="00D370BC" w:rsidP="00D370BC">
      <w:pPr>
        <w:pStyle w:val="a3"/>
        <w:spacing w:line="379" w:lineRule="auto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20"/>
          <w:szCs w:val="20"/>
        </w:rPr>
        <w:t xml:space="preserve">　　四、城市维护建设税是以产品税，增值税，营业税的纳税额作为计税依据并同时征收的，故不应予以减免税。但对个别纳税确有困难的，可由省，市，自治区人民政府酌情予以减免税照顾。</w:t>
      </w:r>
    </w:p>
    <w:p w:rsidR="00E936A8" w:rsidRPr="00D370BC" w:rsidRDefault="00E936A8">
      <w:pPr>
        <w:rPr>
          <w:rFonts w:hint="eastAsia"/>
        </w:rPr>
      </w:pPr>
    </w:p>
    <w:sectPr w:rsidR="00E936A8" w:rsidRPr="00D37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D"/>
    <w:rsid w:val="008F7F9D"/>
    <w:rsid w:val="00D370BC"/>
    <w:rsid w:val="00E9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0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0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2013-09-06T08:41:00Z</dcterms:created>
  <dcterms:modified xsi:type="dcterms:W3CDTF">2013-09-06T08:42:00Z</dcterms:modified>
</cp:coreProperties>
</file>