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C4" w:rsidRPr="00213EC4" w:rsidRDefault="00213EC4" w:rsidP="00213EC4">
      <w:pPr>
        <w:widowControl/>
        <w:jc w:val="center"/>
        <w:outlineLvl w:val="0"/>
        <w:rPr>
          <w:rFonts w:ascii="Microsoft Yahei" w:eastAsia="宋体" w:hAnsi="Microsoft Yahei" w:cs="Arial"/>
          <w:kern w:val="36"/>
          <w:sz w:val="38"/>
          <w:szCs w:val="38"/>
        </w:rPr>
      </w:pPr>
      <w:bookmarkStart w:id="0" w:name="_GoBack"/>
      <w:r w:rsidRPr="00213EC4">
        <w:rPr>
          <w:rFonts w:ascii="Microsoft Yahei" w:eastAsia="宋体" w:hAnsi="Microsoft Yahei" w:cs="Arial"/>
          <w:kern w:val="36"/>
          <w:sz w:val="38"/>
          <w:szCs w:val="38"/>
        </w:rPr>
        <w:t>财税</w:t>
      </w:r>
      <w:r w:rsidRPr="00213EC4">
        <w:rPr>
          <w:rFonts w:ascii="Microsoft Yahei" w:eastAsia="宋体" w:hAnsi="Microsoft Yahei" w:cs="Arial"/>
          <w:kern w:val="36"/>
          <w:sz w:val="38"/>
          <w:szCs w:val="38"/>
        </w:rPr>
        <w:t>[2010]121</w:t>
      </w:r>
      <w:r w:rsidRPr="00213EC4">
        <w:rPr>
          <w:rFonts w:ascii="Microsoft Yahei" w:eastAsia="宋体" w:hAnsi="Microsoft Yahei" w:cs="Arial"/>
          <w:kern w:val="36"/>
          <w:sz w:val="38"/>
          <w:szCs w:val="38"/>
        </w:rPr>
        <w:t>号：关于安置残疾人就业单位城镇土地使用税等政策的通知</w:t>
      </w:r>
    </w:p>
    <w:bookmarkEnd w:id="0"/>
    <w:p w:rsidR="00213EC4" w:rsidRPr="00213EC4" w:rsidRDefault="00213EC4" w:rsidP="00213EC4">
      <w:pPr>
        <w:widowControl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政策类别：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税收法规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  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城镇土地使用税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效力区域：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国家法规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所属行业：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不限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发文单位：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财政部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国家税务总局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发文字号：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财税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[2010]121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号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>发文时间：</w:t>
      </w:r>
      <w:r w:rsidRPr="00213EC4">
        <w:rPr>
          <w:rFonts w:ascii="Arial" w:eastAsia="宋体" w:hAnsi="Arial" w:cs="Arial"/>
          <w:b/>
          <w:bCs/>
          <w:color w:val="3399CC"/>
          <w:kern w:val="0"/>
          <w:sz w:val="18"/>
          <w:szCs w:val="18"/>
        </w:rPr>
        <w:t>2010-12-21</w:t>
      </w:r>
      <w:r w:rsidRPr="00213EC4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</w:t>
      </w:r>
    </w:p>
    <w:p w:rsidR="00213EC4" w:rsidRPr="00213EC4" w:rsidRDefault="00213EC4" w:rsidP="00213EC4">
      <w:pPr>
        <w:widowControl/>
        <w:spacing w:line="432" w:lineRule="auto"/>
        <w:jc w:val="left"/>
        <w:rPr>
          <w:rFonts w:ascii="Microsoft Yahei" w:eastAsia="宋体" w:hAnsi="Microsoft Yahei" w:cs="Arial"/>
          <w:kern w:val="0"/>
          <w:szCs w:val="21"/>
        </w:rPr>
      </w:pPr>
      <w:r w:rsidRPr="00213EC4">
        <w:rPr>
          <w:rFonts w:ascii="Microsoft Yahei" w:eastAsia="宋体" w:hAnsi="Microsoft Yahei" w:cs="Arial"/>
          <w:kern w:val="0"/>
          <w:szCs w:val="21"/>
        </w:rPr>
        <w:t xml:space="preserve">       </w:t>
      </w:r>
      <w:r w:rsidRPr="00213EC4">
        <w:rPr>
          <w:rFonts w:ascii="Microsoft Yahei" w:eastAsia="宋体" w:hAnsi="Microsoft Yahei" w:cs="Arial"/>
          <w:kern w:val="0"/>
          <w:szCs w:val="21"/>
        </w:rPr>
        <w:t>各省、自治区、直辖市、计划单列市财政厅（局）、地方税务局，西藏、青海、宁夏省（自治区）国家税务局，新疆生产建设兵团财务局：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经研究，现将安置残疾人就业单位城镇土地使用税等政策通知如下：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一、关于安置残疾人就业单位的城镇土地使用税问题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对在一个纳税年度内月平均实际安置残疾人就业人数</w:t>
      </w:r>
      <w:proofErr w:type="gramStart"/>
      <w:r w:rsidRPr="00213EC4">
        <w:rPr>
          <w:rFonts w:ascii="Microsoft Yahei" w:eastAsia="宋体" w:hAnsi="Microsoft Yahei" w:cs="Arial"/>
          <w:kern w:val="0"/>
          <w:szCs w:val="21"/>
        </w:rPr>
        <w:t>占单位</w:t>
      </w:r>
      <w:proofErr w:type="gramEnd"/>
      <w:r w:rsidRPr="00213EC4">
        <w:rPr>
          <w:rFonts w:ascii="Microsoft Yahei" w:eastAsia="宋体" w:hAnsi="Microsoft Yahei" w:cs="Arial"/>
          <w:kern w:val="0"/>
          <w:szCs w:val="21"/>
        </w:rPr>
        <w:t>在职职工总数的比例高于</w:t>
      </w:r>
      <w:r w:rsidRPr="00213EC4">
        <w:rPr>
          <w:rFonts w:ascii="Microsoft Yahei" w:eastAsia="宋体" w:hAnsi="Microsoft Yahei" w:cs="Arial"/>
          <w:kern w:val="0"/>
          <w:szCs w:val="21"/>
        </w:rPr>
        <w:t>25%</w:t>
      </w:r>
      <w:r w:rsidRPr="00213EC4">
        <w:rPr>
          <w:rFonts w:ascii="Microsoft Yahei" w:eastAsia="宋体" w:hAnsi="Microsoft Yahei" w:cs="Arial"/>
          <w:kern w:val="0"/>
          <w:szCs w:val="21"/>
        </w:rPr>
        <w:t>（含</w:t>
      </w:r>
      <w:r w:rsidRPr="00213EC4">
        <w:rPr>
          <w:rFonts w:ascii="Microsoft Yahei" w:eastAsia="宋体" w:hAnsi="Microsoft Yahei" w:cs="Arial"/>
          <w:kern w:val="0"/>
          <w:szCs w:val="21"/>
        </w:rPr>
        <w:t>25%</w:t>
      </w:r>
      <w:r w:rsidRPr="00213EC4">
        <w:rPr>
          <w:rFonts w:ascii="Microsoft Yahei" w:eastAsia="宋体" w:hAnsi="Microsoft Yahei" w:cs="Arial"/>
          <w:kern w:val="0"/>
          <w:szCs w:val="21"/>
        </w:rPr>
        <w:t>）且实际安置残疾人人数高于</w:t>
      </w:r>
      <w:r w:rsidRPr="00213EC4">
        <w:rPr>
          <w:rFonts w:ascii="Microsoft Yahei" w:eastAsia="宋体" w:hAnsi="Microsoft Yahei" w:cs="Arial"/>
          <w:kern w:val="0"/>
          <w:szCs w:val="21"/>
        </w:rPr>
        <w:t>10</w:t>
      </w:r>
      <w:r w:rsidRPr="00213EC4">
        <w:rPr>
          <w:rFonts w:ascii="Microsoft Yahei" w:eastAsia="宋体" w:hAnsi="Microsoft Yahei" w:cs="Arial"/>
          <w:kern w:val="0"/>
          <w:szCs w:val="21"/>
        </w:rPr>
        <w:t>人（含</w:t>
      </w:r>
      <w:r w:rsidRPr="00213EC4">
        <w:rPr>
          <w:rFonts w:ascii="Microsoft Yahei" w:eastAsia="宋体" w:hAnsi="Microsoft Yahei" w:cs="Arial"/>
          <w:kern w:val="0"/>
          <w:szCs w:val="21"/>
        </w:rPr>
        <w:t>10</w:t>
      </w:r>
      <w:r w:rsidRPr="00213EC4">
        <w:rPr>
          <w:rFonts w:ascii="Microsoft Yahei" w:eastAsia="宋体" w:hAnsi="Microsoft Yahei" w:cs="Arial"/>
          <w:kern w:val="0"/>
          <w:szCs w:val="21"/>
        </w:rPr>
        <w:t>人）的单位，可减征或免征该年度城镇土地使用税。具体减免税比例及管理办法由省、自治区、直辖市财税主管部门确定。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《国家税务局关于土地使用税若干具体问题的解释和暂行规定》</w:t>
      </w:r>
      <w:r w:rsidRPr="00213EC4">
        <w:rPr>
          <w:rFonts w:ascii="Microsoft Yahei" w:eastAsia="宋体" w:hAnsi="Microsoft Yahei" w:cs="Arial"/>
          <w:kern w:val="0"/>
          <w:szCs w:val="21"/>
        </w:rPr>
        <w:t>(</w:t>
      </w:r>
      <w:hyperlink r:id="rId5" w:tgtFrame="_blank" w:tooltip="国家税务局关于土地使用税若干具体问题的解释和暂行规定" w:history="1">
        <w:r w:rsidRPr="00213EC4">
          <w:rPr>
            <w:rFonts w:ascii="Arial" w:eastAsia="宋体" w:hAnsi="Arial" w:cs="Arial"/>
            <w:color w:val="FF0000"/>
            <w:kern w:val="0"/>
            <w:szCs w:val="21"/>
          </w:rPr>
          <w:t>国税地字</w:t>
        </w:r>
        <w:r w:rsidRPr="00213EC4">
          <w:rPr>
            <w:rFonts w:ascii="Arial" w:eastAsia="宋体" w:hAnsi="Arial" w:cs="Arial"/>
            <w:color w:val="FF0000"/>
            <w:kern w:val="0"/>
            <w:szCs w:val="21"/>
          </w:rPr>
          <w:t>[1988]15</w:t>
        </w:r>
        <w:r w:rsidRPr="00213EC4">
          <w:rPr>
            <w:rFonts w:ascii="Arial" w:eastAsia="宋体" w:hAnsi="Arial" w:cs="Arial"/>
            <w:color w:val="FF0000"/>
            <w:kern w:val="0"/>
            <w:szCs w:val="21"/>
          </w:rPr>
          <w:t>号</w:t>
        </w:r>
      </w:hyperlink>
      <w:r w:rsidRPr="00213EC4">
        <w:rPr>
          <w:rFonts w:ascii="Microsoft Yahei" w:eastAsia="宋体" w:hAnsi="Microsoft Yahei" w:cs="Arial"/>
          <w:kern w:val="0"/>
          <w:szCs w:val="21"/>
        </w:rPr>
        <w:t>)</w:t>
      </w:r>
      <w:r w:rsidRPr="00213EC4">
        <w:rPr>
          <w:rFonts w:ascii="Microsoft Yahei" w:eastAsia="宋体" w:hAnsi="Microsoft Yahei" w:cs="Arial"/>
          <w:kern w:val="0"/>
          <w:szCs w:val="21"/>
        </w:rPr>
        <w:t>第十八条第四项同时废止。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二、关于出租房产免收租金期间房产税问题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对出租房产，租赁双方签订的租赁合同约定有免收租金期限的，免收租金期间由产权所有人按照房产原值缴纳房产税。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三、关于将地价计入房产原值征收房产税问题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对按照房产原值计税的房产，无论会计上如何核算，房产原值均应包含地价，包括为取得土地使用权支付的价款、开发土地发生的成本费用等。宗地容积率低于</w:t>
      </w:r>
      <w:r w:rsidRPr="00213EC4">
        <w:rPr>
          <w:rFonts w:ascii="Microsoft Yahei" w:eastAsia="宋体" w:hAnsi="Microsoft Yahei" w:cs="Arial"/>
          <w:kern w:val="0"/>
          <w:szCs w:val="21"/>
        </w:rPr>
        <w:t>0.5</w:t>
      </w:r>
      <w:r w:rsidRPr="00213EC4">
        <w:rPr>
          <w:rFonts w:ascii="Microsoft Yahei" w:eastAsia="宋体" w:hAnsi="Microsoft Yahei" w:cs="Arial"/>
          <w:kern w:val="0"/>
          <w:szCs w:val="21"/>
        </w:rPr>
        <w:t>的，按房产建筑面积的</w:t>
      </w:r>
      <w:r w:rsidRPr="00213EC4">
        <w:rPr>
          <w:rFonts w:ascii="Microsoft Yahei" w:eastAsia="宋体" w:hAnsi="Microsoft Yahei" w:cs="Arial"/>
          <w:kern w:val="0"/>
          <w:szCs w:val="21"/>
        </w:rPr>
        <w:t>2</w:t>
      </w:r>
      <w:r w:rsidRPr="00213EC4">
        <w:rPr>
          <w:rFonts w:ascii="Microsoft Yahei" w:eastAsia="宋体" w:hAnsi="Microsoft Yahei" w:cs="Arial"/>
          <w:kern w:val="0"/>
          <w:szCs w:val="21"/>
        </w:rPr>
        <w:t>倍计算土地面积并据此确定计入房产原值的地价。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本通知自发文之日起执行。此前规定与本通知不一致的，按本通知执行。各地财税部门要加强对政策执行情况的跟踪了解，对执行中发现的问题，及时上报财政部和国家税务总局。</w:t>
      </w:r>
    </w:p>
    <w:p w:rsidR="00213EC4" w:rsidRPr="00213EC4" w:rsidRDefault="00213EC4" w:rsidP="00213EC4">
      <w:pPr>
        <w:widowControl/>
        <w:spacing w:line="432" w:lineRule="auto"/>
        <w:jc w:val="left"/>
        <w:rPr>
          <w:rFonts w:ascii="Microsoft Yahei" w:eastAsia="宋体" w:hAnsi="Microsoft Yahei" w:cs="Arial"/>
          <w:kern w:val="0"/>
          <w:szCs w:val="21"/>
        </w:rPr>
      </w:pPr>
      <w:r w:rsidRPr="00213EC4">
        <w:rPr>
          <w:rFonts w:ascii="Microsoft Yahei" w:eastAsia="宋体" w:hAnsi="Microsoft Yahei" w:cs="Arial"/>
          <w:kern w:val="0"/>
          <w:szCs w:val="21"/>
        </w:rPr>
        <w:t> </w:t>
      </w:r>
    </w:p>
    <w:p w:rsidR="0056746A" w:rsidRPr="00213EC4" w:rsidRDefault="00213EC4" w:rsidP="00213EC4">
      <w:pPr>
        <w:widowControl/>
        <w:spacing w:line="432" w:lineRule="auto"/>
        <w:jc w:val="left"/>
        <w:rPr>
          <w:rFonts w:ascii="Microsoft Yahei" w:eastAsia="宋体" w:hAnsi="Microsoft Yahei" w:cs="Arial" w:hint="eastAsia"/>
          <w:kern w:val="0"/>
          <w:szCs w:val="21"/>
        </w:rPr>
      </w:pPr>
      <w:r w:rsidRPr="00213EC4">
        <w:rPr>
          <w:rFonts w:ascii="Microsoft Yahei" w:eastAsia="宋体" w:hAnsi="Microsoft Yahei" w:cs="Arial"/>
          <w:kern w:val="0"/>
          <w:szCs w:val="21"/>
        </w:rPr>
        <w:t xml:space="preserve">　　财政部</w:t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 </w:t>
      </w:r>
      <w:r w:rsidRPr="00213EC4">
        <w:rPr>
          <w:rFonts w:ascii="Microsoft Yahei" w:eastAsia="宋体" w:hAnsi="Microsoft Yahei" w:cs="Arial"/>
          <w:kern w:val="0"/>
          <w:szCs w:val="21"/>
        </w:rPr>
        <w:t>国家税务总局</w:t>
      </w:r>
      <w:r w:rsidRPr="00213EC4">
        <w:rPr>
          <w:rFonts w:ascii="Microsoft Yahei" w:eastAsia="宋体" w:hAnsi="Microsoft Yahei" w:cs="Arial"/>
          <w:kern w:val="0"/>
          <w:szCs w:val="21"/>
        </w:rPr>
        <w:br/>
      </w:r>
      <w:r w:rsidRPr="00213EC4">
        <w:rPr>
          <w:rFonts w:ascii="Microsoft Yahei" w:eastAsia="宋体" w:hAnsi="Microsoft Yahei" w:cs="Arial"/>
          <w:kern w:val="0"/>
          <w:szCs w:val="21"/>
        </w:rPr>
        <w:t xml:space="preserve">　　二</w:t>
      </w:r>
      <w:proofErr w:type="gramStart"/>
      <w:r w:rsidRPr="00213EC4">
        <w:rPr>
          <w:rFonts w:ascii="Microsoft Yahei" w:eastAsia="宋体" w:hAnsi="Microsoft Yahei" w:cs="Arial"/>
          <w:kern w:val="0"/>
          <w:szCs w:val="21"/>
        </w:rPr>
        <w:t>0</w:t>
      </w:r>
      <w:r w:rsidRPr="00213EC4">
        <w:rPr>
          <w:rFonts w:ascii="Microsoft Yahei" w:eastAsia="宋体" w:hAnsi="Microsoft Yahei" w:cs="Arial"/>
          <w:kern w:val="0"/>
          <w:szCs w:val="21"/>
        </w:rPr>
        <w:t>一</w:t>
      </w:r>
      <w:proofErr w:type="gramEnd"/>
      <w:r w:rsidRPr="00213EC4">
        <w:rPr>
          <w:rFonts w:ascii="Microsoft Yahei" w:eastAsia="宋体" w:hAnsi="Microsoft Yahei" w:cs="Arial"/>
          <w:kern w:val="0"/>
          <w:szCs w:val="21"/>
        </w:rPr>
        <w:t>0</w:t>
      </w:r>
      <w:r w:rsidRPr="00213EC4">
        <w:rPr>
          <w:rFonts w:ascii="Microsoft Yahei" w:eastAsia="宋体" w:hAnsi="Microsoft Yahei" w:cs="Arial"/>
          <w:kern w:val="0"/>
          <w:szCs w:val="21"/>
        </w:rPr>
        <w:t>年十二月二十一日</w:t>
      </w:r>
    </w:p>
    <w:sectPr w:rsidR="0056746A" w:rsidRPr="0021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4F"/>
    <w:rsid w:val="00213EC4"/>
    <w:rsid w:val="0056746A"/>
    <w:rsid w:val="00E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shuiren.com/ps_105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2013-07-18T03:22:00Z</dcterms:created>
  <dcterms:modified xsi:type="dcterms:W3CDTF">2013-07-18T03:22:00Z</dcterms:modified>
</cp:coreProperties>
</file>