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E8" w:rsidRPr="00192EE8" w:rsidRDefault="00192EE8" w:rsidP="00192EE8">
      <w:pPr>
        <w:widowControl/>
        <w:spacing w:before="100" w:beforeAutospacing="1" w:after="100" w:afterAutospacing="1" w:line="379" w:lineRule="auto"/>
        <w:jc w:val="center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192EE8">
        <w:rPr>
          <w:rFonts w:ascii="Arial" w:eastAsia="宋体" w:hAnsi="Arial" w:cs="Arial"/>
          <w:color w:val="FF0000"/>
          <w:kern w:val="0"/>
          <w:sz w:val="24"/>
          <w:szCs w:val="24"/>
        </w:rPr>
        <w:t>国家税务总局关于进一步明确房屋附属设备和配套设施计征房产</w:t>
      </w:r>
      <w:proofErr w:type="gramStart"/>
      <w:r w:rsidRPr="00192EE8">
        <w:rPr>
          <w:rFonts w:ascii="Arial" w:eastAsia="宋体" w:hAnsi="Arial" w:cs="Arial"/>
          <w:color w:val="FF0000"/>
          <w:kern w:val="0"/>
          <w:sz w:val="24"/>
          <w:szCs w:val="24"/>
        </w:rPr>
        <w:t>税有关</w:t>
      </w:r>
      <w:proofErr w:type="gramEnd"/>
      <w:r w:rsidRPr="00192EE8">
        <w:rPr>
          <w:rFonts w:ascii="Arial" w:eastAsia="宋体" w:hAnsi="Arial" w:cs="Arial"/>
          <w:color w:val="FF0000"/>
          <w:kern w:val="0"/>
          <w:sz w:val="24"/>
          <w:szCs w:val="24"/>
        </w:rPr>
        <w:t>问题的通知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[</w:t>
      </w:r>
      <w:r w:rsidRPr="00192EE8">
        <w:rPr>
          <w:rFonts w:ascii="Arial" w:eastAsia="宋体" w:hAnsi="Arial" w:cs="Arial"/>
          <w:color w:val="0000FF"/>
          <w:kern w:val="0"/>
          <w:sz w:val="20"/>
          <w:szCs w:val="20"/>
        </w:rPr>
        <w:t>条款失效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]</w:t>
      </w:r>
    </w:p>
    <w:p w:rsidR="00192EE8" w:rsidRPr="00192EE8" w:rsidRDefault="00192EE8" w:rsidP="00192EE8">
      <w:pPr>
        <w:widowControl/>
        <w:spacing w:before="100" w:beforeAutospacing="1" w:after="100" w:afterAutospacing="1" w:line="379" w:lineRule="auto"/>
        <w:jc w:val="center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192EE8">
        <w:rPr>
          <w:rFonts w:ascii="Arial" w:eastAsia="宋体" w:hAnsi="Arial" w:cs="Arial"/>
          <w:color w:val="0000FF"/>
          <w:kern w:val="0"/>
          <w:sz w:val="20"/>
          <w:szCs w:val="20"/>
        </w:rPr>
        <w:t>国税发</w:t>
      </w:r>
      <w:r w:rsidRPr="00192EE8">
        <w:rPr>
          <w:rFonts w:ascii="Arial" w:eastAsia="宋体" w:hAnsi="Arial" w:cs="Arial"/>
          <w:color w:val="0000FF"/>
          <w:kern w:val="0"/>
          <w:sz w:val="20"/>
          <w:szCs w:val="20"/>
        </w:rPr>
        <w:t>[2005]173</w:t>
      </w:r>
      <w:r w:rsidRPr="00192EE8">
        <w:rPr>
          <w:rFonts w:ascii="Arial" w:eastAsia="宋体" w:hAnsi="Arial" w:cs="Arial"/>
          <w:color w:val="0000FF"/>
          <w:kern w:val="0"/>
          <w:sz w:val="20"/>
          <w:szCs w:val="20"/>
        </w:rPr>
        <w:t>号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                                       2005.10.21</w:t>
      </w:r>
    </w:p>
    <w:p w:rsidR="00192EE8" w:rsidRPr="00192EE8" w:rsidRDefault="00192EE8" w:rsidP="00192EE8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各省、自治区、直辖市和计划单列市地方税务局，扬州税务进修学院：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     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关于房屋附属设备和配套设施计征房产税问题，《</w:t>
      </w:r>
      <w:hyperlink r:id="rId7" w:history="1">
        <w:r w:rsidRPr="00192EE8">
          <w:rPr>
            <w:rFonts w:ascii="Arial" w:eastAsia="宋体" w:hAnsi="Arial" w:cs="Arial"/>
            <w:color w:val="454545"/>
            <w:kern w:val="0"/>
            <w:sz w:val="20"/>
            <w:szCs w:val="20"/>
          </w:rPr>
          <w:t>财政部</w:t>
        </w:r>
        <w:r w:rsidRPr="00192EE8">
          <w:rPr>
            <w:rFonts w:ascii="Arial" w:eastAsia="宋体" w:hAnsi="Arial" w:cs="Arial"/>
            <w:color w:val="454545"/>
            <w:kern w:val="0"/>
            <w:sz w:val="20"/>
            <w:szCs w:val="20"/>
          </w:rPr>
          <w:t xml:space="preserve"> </w:t>
        </w:r>
        <w:r w:rsidRPr="00192EE8">
          <w:rPr>
            <w:rFonts w:ascii="Arial" w:eastAsia="宋体" w:hAnsi="Arial" w:cs="Arial"/>
            <w:color w:val="454545"/>
            <w:kern w:val="0"/>
            <w:sz w:val="20"/>
            <w:szCs w:val="20"/>
          </w:rPr>
          <w:t>税务总局关于房产税和车船使用税几个业务问题的解释与规定</w:t>
        </w:r>
      </w:hyperlink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》（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(87)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财税地字第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3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号）第二</w:t>
      </w:r>
      <w:bookmarkStart w:id="0" w:name="_GoBack"/>
      <w:bookmarkEnd w:id="0"/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条已作了明确。随着社会经济的发展和房屋功能的完善，又出现了一些新的设备和设施，亟需明确。</w:t>
      </w:r>
    </w:p>
    <w:p w:rsidR="00192EE8" w:rsidRPr="00192EE8" w:rsidRDefault="00192EE8" w:rsidP="00192EE8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经研究，现将有关问题通知如下：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     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一、为了维持和增加房屋的使用功能或使房屋满足设计要求，凡以房屋为载体，不可随意移动的附属设备和配套设施，如给排水、采暖、消防、中央空调、电气及智能化楼宇设备等，无论在会计核算中是否单独记账与核算，都应计入房产原值，计征房产税。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     </w:t>
      </w:r>
    </w:p>
    <w:p w:rsidR="00192EE8" w:rsidRPr="00192EE8" w:rsidRDefault="00192EE8" w:rsidP="00192EE8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二、对于更换房屋附属设备和配套设施的，在将其价值计入房产原值时，可扣减原来相应设备和设施的价值；对附属设备和配套设施中易损坏、需要经常更换的零配件，更新后不再计入房产原值。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     </w:t>
      </w:r>
    </w:p>
    <w:p w:rsidR="00192EE8" w:rsidRPr="00192EE8" w:rsidRDefault="00192EE8" w:rsidP="00192EE8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三、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[</w:t>
      </w:r>
      <w:r w:rsidRPr="00192EE8">
        <w:rPr>
          <w:rFonts w:ascii="Arial" w:eastAsia="宋体" w:hAnsi="Arial" w:cs="Arial"/>
          <w:color w:val="FF0000"/>
          <w:kern w:val="0"/>
          <w:sz w:val="20"/>
          <w:szCs w:val="20"/>
        </w:rPr>
        <w:t>本条失效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]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城市房地产税比照上述规定执行。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     </w:t>
      </w:r>
    </w:p>
    <w:p w:rsidR="00192EE8" w:rsidRPr="00192EE8" w:rsidRDefault="00192EE8" w:rsidP="00192EE8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四、本通知自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2006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年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1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月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1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日起执行。《</w:t>
      </w:r>
      <w:hyperlink r:id="rId8" w:history="1">
        <w:r w:rsidRPr="00192EE8">
          <w:rPr>
            <w:rFonts w:ascii="Arial" w:eastAsia="宋体" w:hAnsi="Arial" w:cs="Arial"/>
            <w:color w:val="454545"/>
            <w:kern w:val="0"/>
            <w:sz w:val="20"/>
            <w:szCs w:val="20"/>
          </w:rPr>
          <w:t>财政部</w:t>
        </w:r>
        <w:r w:rsidRPr="00192EE8">
          <w:rPr>
            <w:rFonts w:ascii="Arial" w:eastAsia="宋体" w:hAnsi="Arial" w:cs="Arial"/>
            <w:color w:val="454545"/>
            <w:kern w:val="0"/>
            <w:sz w:val="20"/>
            <w:szCs w:val="20"/>
          </w:rPr>
          <w:t xml:space="preserve"> </w:t>
        </w:r>
        <w:r w:rsidRPr="00192EE8">
          <w:rPr>
            <w:rFonts w:ascii="Arial" w:eastAsia="宋体" w:hAnsi="Arial" w:cs="Arial"/>
            <w:color w:val="454545"/>
            <w:kern w:val="0"/>
            <w:sz w:val="20"/>
            <w:szCs w:val="20"/>
          </w:rPr>
          <w:t>税务总局关于房产税和车船使用税几个业务问题的解释与规定</w:t>
        </w:r>
      </w:hyperlink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》（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(87)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财税地字第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3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>号）同时废止。</w:t>
      </w:r>
      <w:r w:rsidRPr="00192EE8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</w:t>
      </w:r>
    </w:p>
    <w:p w:rsidR="00D13628" w:rsidRPr="00192EE8" w:rsidRDefault="00D13628"/>
    <w:sectPr w:rsidR="00D13628" w:rsidRPr="0019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50" w:rsidRDefault="00D20550" w:rsidP="00192EE8">
      <w:r>
        <w:separator/>
      </w:r>
    </w:p>
  </w:endnote>
  <w:endnote w:type="continuationSeparator" w:id="0">
    <w:p w:rsidR="00D20550" w:rsidRDefault="00D20550" w:rsidP="0019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50" w:rsidRDefault="00D20550" w:rsidP="00192EE8">
      <w:r>
        <w:separator/>
      </w:r>
    </w:p>
  </w:footnote>
  <w:footnote w:type="continuationSeparator" w:id="0">
    <w:p w:rsidR="00D20550" w:rsidRDefault="00D20550" w:rsidP="0019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4A"/>
    <w:rsid w:val="00192EE8"/>
    <w:rsid w:val="00D13628"/>
    <w:rsid w:val="00D20550"/>
    <w:rsid w:val="00D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E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EE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92EE8"/>
    <w:rPr>
      <w:strike w:val="0"/>
      <w:dstrike w:val="0"/>
      <w:color w:val="284C6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192E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E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EE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92EE8"/>
    <w:rPr>
      <w:strike w:val="0"/>
      <w:dstrike w:val="0"/>
      <w:color w:val="284C6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192E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i5.cn/article/98/2295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ui5.cn/article/98/2295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2013-08-22T02:21:00Z</dcterms:created>
  <dcterms:modified xsi:type="dcterms:W3CDTF">2013-08-22T02:22:00Z</dcterms:modified>
</cp:coreProperties>
</file>